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333333"/>
          <w:sz w:val="28"/>
        </w:rPr>
        <w:t>[Organisation Name]</w:t>
      </w:r>
    </w:p>
    <w:p>
      <w:pPr>
        <w:jc w:val="center"/>
      </w:pPr>
      <w:r>
        <w:rPr>
          <w:color w:val="666666"/>
          <w:sz w:val="22"/>
        </w:rPr>
        <w:t>[Meeting Type — e.g. Board Meeting, Finance Committee]</w:t>
      </w:r>
    </w:p>
    <w:p>
      <w:pPr>
        <w:spacing w:before="160"/>
        <w:jc w:val="center"/>
      </w:pPr>
      <w:r>
        <w:rPr>
          <w:b/>
          <w:color w:val="0D9488"/>
          <w:sz w:val="40"/>
        </w:rPr>
        <w:t>ACTION REGISTER</w:t>
      </w:r>
    </w:p>
    <w:p>
      <w:r>
        <w:rPr>
          <w:i/>
          <w:color w:val="888888"/>
          <w:sz w:val="20"/>
        </w:rPr>
        <w:t>This register tracks action items arising from board and committee meetings. Review at each meeting under "Matters Arising" or "Outstanding Actions".</w:t>
      </w:r>
    </w:p>
    <w:p>
      <w:pPr>
        <w:spacing w:before="0" w:after="0"/>
      </w:pPr>
      <w:r>
        <w:rPr>
          <w:sz w:val="12"/>
        </w:rPr>
      </w:r>
    </w:p>
    <w:tbl>
      <w:tblPr>
        <w:tblW w:type="auto" w:w="0"/>
        <w:jc w:val="center"/>
        <w:tblLayout w:type="fixed"/>
        <w:tblLook w:firstColumn="1" w:firstRow="1" w:lastColumn="0" w:lastRow="0" w:noHBand="0" w:noVBand="1" w:val="04A0"/>
      </w:tblPr>
      <w:tblGrid>
        <w:gridCol w:w="1619"/>
        <w:gridCol w:w="1619"/>
        <w:gridCol w:w="1619"/>
        <w:gridCol w:w="1619"/>
        <w:gridCol w:w="1619"/>
        <w:gridCol w:w="1619"/>
        <w:gridCol w:w="1619"/>
        <w:gridCol w:w="1619"/>
        <w:gridCol w:w="1619"/>
      </w:tblGrid>
      <w:tr>
        <w:tc>
          <w:tcPr>
            <w:tcW w:type="dxa" w:w="1020"/>
            <w:shd w:val="clear" w:color="auto" w:fill="0D9488"/>
            <w:tcBorders>
              <w:top w:val="single" w:sz="4" w:space="0" w:color="0D9488"/>
              <w:bottom w:val="single" w:sz="4" w:space="0" w:color="0D9488"/>
              <w:left w:val="single" w:sz="4" w:space="0" w:color="0D9488"/>
              <w:right w:val="single" w:sz="4" w:space="0" w:color="0D9488"/>
            </w:tcBorders>
          </w:tcPr>
          <w:p>
            <w:pPr>
              <w:jc w:val="center"/>
            </w:pPr>
            <w:r>
              <w:rPr>
                <w:b/>
                <w:color w:val="FFFFFF"/>
                <w:sz w:val="18"/>
              </w:rPr>
              <w:t>Action #</w:t>
            </w:r>
          </w:p>
        </w:tc>
        <w:tc>
          <w:tcPr>
            <w:tcW w:type="dxa" w:w="1361"/>
            <w:shd w:val="clear" w:color="auto" w:fill="0D9488"/>
            <w:tcBorders>
              <w:top w:val="single" w:sz="4" w:space="0" w:color="0D9488"/>
              <w:bottom w:val="single" w:sz="4" w:space="0" w:color="0D9488"/>
              <w:left w:val="single" w:sz="4" w:space="0" w:color="0D9488"/>
              <w:right w:val="single" w:sz="4" w:space="0" w:color="0D9488"/>
            </w:tcBorders>
          </w:tcPr>
          <w:p>
            <w:pPr>
              <w:jc w:val="center"/>
            </w:pPr>
            <w:r>
              <w:rPr>
                <w:b/>
                <w:color w:val="FFFFFF"/>
                <w:sz w:val="18"/>
              </w:rPr>
              <w:t>Date Raised</w:t>
            </w:r>
          </w:p>
        </w:tc>
        <w:tc>
          <w:tcPr>
            <w:tcW w:type="dxa" w:w="1587"/>
            <w:shd w:val="clear" w:color="auto" w:fill="0D9488"/>
            <w:tcBorders>
              <w:top w:val="single" w:sz="4" w:space="0" w:color="0D9488"/>
              <w:bottom w:val="single" w:sz="4" w:space="0" w:color="0D9488"/>
              <w:left w:val="single" w:sz="4" w:space="0" w:color="0D9488"/>
              <w:right w:val="single" w:sz="4" w:space="0" w:color="0D9488"/>
            </w:tcBorders>
          </w:tcPr>
          <w:p>
            <w:pPr>
              <w:jc w:val="center"/>
            </w:pPr>
            <w:r>
              <w:rPr>
                <w:b/>
                <w:color w:val="FFFFFF"/>
                <w:sz w:val="18"/>
              </w:rPr>
              <w:t>Meeting</w:t>
            </w:r>
          </w:p>
        </w:tc>
        <w:tc>
          <w:tcPr>
            <w:tcW w:type="dxa" w:w="3685"/>
            <w:shd w:val="clear" w:color="auto" w:fill="0D9488"/>
            <w:tcBorders>
              <w:top w:val="single" w:sz="4" w:space="0" w:color="0D9488"/>
              <w:bottom w:val="single" w:sz="4" w:space="0" w:color="0D9488"/>
              <w:left w:val="single" w:sz="4" w:space="0" w:color="0D9488"/>
              <w:right w:val="single" w:sz="4" w:space="0" w:color="0D9488"/>
            </w:tcBorders>
          </w:tcPr>
          <w:p>
            <w:pPr>
              <w:jc w:val="center"/>
            </w:pPr>
            <w:r>
              <w:rPr>
                <w:b/>
                <w:color w:val="FFFFFF"/>
                <w:sz w:val="18"/>
              </w:rPr>
              <w:t>Action Description</w:t>
            </w:r>
          </w:p>
        </w:tc>
        <w:tc>
          <w:tcPr>
            <w:tcW w:type="dxa" w:w="1417"/>
            <w:shd w:val="clear" w:color="auto" w:fill="0D9488"/>
            <w:tcBorders>
              <w:top w:val="single" w:sz="4" w:space="0" w:color="0D9488"/>
              <w:bottom w:val="single" w:sz="4" w:space="0" w:color="0D9488"/>
              <w:left w:val="single" w:sz="4" w:space="0" w:color="0D9488"/>
              <w:right w:val="single" w:sz="4" w:space="0" w:color="0D9488"/>
            </w:tcBorders>
          </w:tcPr>
          <w:p>
            <w:pPr>
              <w:jc w:val="center"/>
            </w:pPr>
            <w:r>
              <w:rPr>
                <w:b/>
                <w:color w:val="FFFFFF"/>
                <w:sz w:val="18"/>
              </w:rPr>
              <w:t>Assigned To</w:t>
            </w:r>
          </w:p>
        </w:tc>
        <w:tc>
          <w:tcPr>
            <w:tcW w:type="dxa" w:w="1361"/>
            <w:shd w:val="clear" w:color="auto" w:fill="0D9488"/>
            <w:tcBorders>
              <w:top w:val="single" w:sz="4" w:space="0" w:color="0D9488"/>
              <w:bottom w:val="single" w:sz="4" w:space="0" w:color="0D9488"/>
              <w:left w:val="single" w:sz="4" w:space="0" w:color="0D9488"/>
              <w:right w:val="single" w:sz="4" w:space="0" w:color="0D9488"/>
            </w:tcBorders>
          </w:tcPr>
          <w:p>
            <w:pPr>
              <w:jc w:val="center"/>
            </w:pPr>
            <w:r>
              <w:rPr>
                <w:b/>
                <w:color w:val="FFFFFF"/>
                <w:sz w:val="18"/>
              </w:rPr>
              <w:t>Due Date</w:t>
            </w:r>
          </w:p>
        </w:tc>
        <w:tc>
          <w:tcPr>
            <w:tcW w:type="dxa" w:w="1247"/>
            <w:shd w:val="clear" w:color="auto" w:fill="0D9488"/>
            <w:tcBorders>
              <w:top w:val="single" w:sz="4" w:space="0" w:color="0D9488"/>
              <w:bottom w:val="single" w:sz="4" w:space="0" w:color="0D9488"/>
              <w:left w:val="single" w:sz="4" w:space="0" w:color="0D9488"/>
              <w:right w:val="single" w:sz="4" w:space="0" w:color="0D9488"/>
            </w:tcBorders>
          </w:tcPr>
          <w:p>
            <w:pPr>
              <w:jc w:val="center"/>
            </w:pPr>
            <w:r>
              <w:rPr>
                <w:b/>
                <w:color w:val="FFFFFF"/>
                <w:sz w:val="18"/>
              </w:rPr>
              <w:t>Status</w:t>
            </w:r>
          </w:p>
        </w:tc>
        <w:tc>
          <w:tcPr>
            <w:tcW w:type="dxa" w:w="1361"/>
            <w:shd w:val="clear" w:color="auto" w:fill="0D9488"/>
            <w:tcBorders>
              <w:top w:val="single" w:sz="4" w:space="0" w:color="0D9488"/>
              <w:bottom w:val="single" w:sz="4" w:space="0" w:color="0D9488"/>
              <w:left w:val="single" w:sz="4" w:space="0" w:color="0D9488"/>
              <w:right w:val="single" w:sz="4" w:space="0" w:color="0D9488"/>
            </w:tcBorders>
          </w:tcPr>
          <w:p>
            <w:pPr>
              <w:jc w:val="center"/>
            </w:pPr>
            <w:r>
              <w:rPr>
                <w:b/>
                <w:color w:val="FFFFFF"/>
                <w:sz w:val="18"/>
              </w:rPr>
              <w:t>Date Completed</w:t>
            </w:r>
          </w:p>
        </w:tc>
        <w:tc>
          <w:tcPr>
            <w:tcW w:type="dxa" w:w="1701"/>
            <w:shd w:val="clear" w:color="auto" w:fill="0D9488"/>
            <w:tcBorders>
              <w:top w:val="single" w:sz="4" w:space="0" w:color="0D9488"/>
              <w:bottom w:val="single" w:sz="4" w:space="0" w:color="0D9488"/>
              <w:left w:val="single" w:sz="4" w:space="0" w:color="0D9488"/>
              <w:right w:val="single" w:sz="4" w:space="0" w:color="0D9488"/>
            </w:tcBorders>
          </w:tcPr>
          <w:p>
            <w:pPr>
              <w:jc w:val="center"/>
            </w:pPr>
            <w:r>
              <w:rPr>
                <w:b/>
                <w:color w:val="FFFFFF"/>
                <w:sz w:val="18"/>
              </w:rPr>
              <w:t>Notes</w:t>
            </w:r>
          </w:p>
        </w:tc>
      </w:tr>
      <w:tr>
        <w:tc>
          <w:tcPr>
            <w:tcW w:type="dxa" w:w="1020"/>
            <w:shd w:val="clear" w:color="auto" w:fill="F9FAFB"/>
            <w:tcBorders>
              <w:top w:val="single" w:sz="4" w:space="0" w:color="E5E7EB"/>
              <w:bottom w:val="single" w:sz="4" w:space="0" w:color="E5E7EB"/>
              <w:left w:val="single" w:sz="4" w:space="0" w:color="E5E7EB"/>
              <w:right w:val="single" w:sz="4" w:space="0" w:color="E5E7EB"/>
            </w:tcBorders>
          </w:tcPr>
          <w:p>
            <w:r>
              <w:rPr>
                <w:i/>
                <w:color w:val="999999"/>
                <w:sz w:val="17"/>
              </w:rPr>
              <w:t>2025-001</w:t>
            </w:r>
          </w:p>
        </w:tc>
        <w:tc>
          <w:tcPr>
            <w:tcW w:type="dxa" w:w="1361"/>
            <w:shd w:val="clear" w:color="auto" w:fill="F9FAFB"/>
            <w:tcBorders>
              <w:top w:val="single" w:sz="4" w:space="0" w:color="E5E7EB"/>
              <w:bottom w:val="single" w:sz="4" w:space="0" w:color="E5E7EB"/>
              <w:left w:val="single" w:sz="4" w:space="0" w:color="E5E7EB"/>
              <w:right w:val="single" w:sz="4" w:space="0" w:color="E5E7EB"/>
            </w:tcBorders>
          </w:tcPr>
          <w:p>
            <w:r>
              <w:rPr>
                <w:i/>
                <w:color w:val="999999"/>
                <w:sz w:val="17"/>
              </w:rPr>
              <w:t>15 Jan 2025</w:t>
            </w:r>
          </w:p>
        </w:tc>
        <w:tc>
          <w:tcPr>
            <w:tcW w:type="dxa" w:w="1587"/>
            <w:shd w:val="clear" w:color="auto" w:fill="F9FAFB"/>
            <w:tcBorders>
              <w:top w:val="single" w:sz="4" w:space="0" w:color="E5E7EB"/>
              <w:bottom w:val="single" w:sz="4" w:space="0" w:color="E5E7EB"/>
              <w:left w:val="single" w:sz="4" w:space="0" w:color="E5E7EB"/>
              <w:right w:val="single" w:sz="4" w:space="0" w:color="E5E7EB"/>
            </w:tcBorders>
          </w:tcPr>
          <w:p>
            <w:r>
              <w:rPr>
                <w:i/>
                <w:color w:val="999999"/>
                <w:sz w:val="17"/>
              </w:rPr>
              <w:t>Board Meeting</w:t>
            </w:r>
          </w:p>
        </w:tc>
        <w:tc>
          <w:tcPr>
            <w:tcW w:type="dxa" w:w="3685"/>
            <w:shd w:val="clear" w:color="auto" w:fill="F9FAFB"/>
            <w:tcBorders>
              <w:top w:val="single" w:sz="4" w:space="0" w:color="E5E7EB"/>
              <w:bottom w:val="single" w:sz="4" w:space="0" w:color="E5E7EB"/>
              <w:left w:val="single" w:sz="4" w:space="0" w:color="E5E7EB"/>
              <w:right w:val="single" w:sz="4" w:space="0" w:color="E5E7EB"/>
            </w:tcBorders>
          </w:tcPr>
          <w:p>
            <w:r>
              <w:rPr>
                <w:i/>
                <w:color w:val="999999"/>
                <w:sz w:val="17"/>
              </w:rPr>
              <w:t>Obtain three quotes for the annual audit and present a recommendation to the Finance Committee</w:t>
            </w:r>
          </w:p>
        </w:tc>
        <w:tc>
          <w:tcPr>
            <w:tcW w:type="dxa" w:w="1417"/>
            <w:shd w:val="clear" w:color="auto" w:fill="F9FAFB"/>
            <w:tcBorders>
              <w:top w:val="single" w:sz="4" w:space="0" w:color="E5E7EB"/>
              <w:bottom w:val="single" w:sz="4" w:space="0" w:color="E5E7EB"/>
              <w:left w:val="single" w:sz="4" w:space="0" w:color="E5E7EB"/>
              <w:right w:val="single" w:sz="4" w:space="0" w:color="E5E7EB"/>
            </w:tcBorders>
          </w:tcPr>
          <w:p>
            <w:r>
              <w:rPr>
                <w:i/>
                <w:color w:val="999999"/>
                <w:sz w:val="17"/>
              </w:rPr>
              <w:t>J. Smith (Treasurer)</w:t>
            </w:r>
          </w:p>
        </w:tc>
        <w:tc>
          <w:tcPr>
            <w:tcW w:type="dxa" w:w="1361"/>
            <w:shd w:val="clear" w:color="auto" w:fill="F9FAFB"/>
            <w:tcBorders>
              <w:top w:val="single" w:sz="4" w:space="0" w:color="E5E7EB"/>
              <w:bottom w:val="single" w:sz="4" w:space="0" w:color="E5E7EB"/>
              <w:left w:val="single" w:sz="4" w:space="0" w:color="E5E7EB"/>
              <w:right w:val="single" w:sz="4" w:space="0" w:color="E5E7EB"/>
            </w:tcBorders>
          </w:tcPr>
          <w:p>
            <w:r>
              <w:rPr>
                <w:i/>
                <w:color w:val="999999"/>
                <w:sz w:val="17"/>
              </w:rPr>
              <w:t>28 Feb 2025</w:t>
            </w:r>
          </w:p>
        </w:tc>
        <w:tc>
          <w:tcPr>
            <w:tcW w:type="dxa" w:w="1247"/>
            <w:shd w:val="clear" w:color="auto" w:fill="F9FAFB"/>
            <w:tcBorders>
              <w:top w:val="single" w:sz="4" w:space="0" w:color="E5E7EB"/>
              <w:bottom w:val="single" w:sz="4" w:space="0" w:color="E5E7EB"/>
              <w:left w:val="single" w:sz="4" w:space="0" w:color="E5E7EB"/>
              <w:right w:val="single" w:sz="4" w:space="0" w:color="E5E7EB"/>
            </w:tcBorders>
          </w:tcPr>
          <w:p>
            <w:r>
              <w:rPr>
                <w:i/>
                <w:color w:val="999999"/>
                <w:sz w:val="17"/>
              </w:rPr>
              <w:t>In Progress</w:t>
            </w:r>
          </w:p>
        </w:tc>
        <w:tc>
          <w:tcPr>
            <w:tcW w:type="dxa" w:w="1361"/>
            <w:shd w:val="clear" w:color="auto" w:fill="F9FAFB"/>
            <w:tcBorders>
              <w:top w:val="single" w:sz="4" w:space="0" w:color="E5E7EB"/>
              <w:bottom w:val="single" w:sz="4" w:space="0" w:color="E5E7EB"/>
              <w:left w:val="single" w:sz="4" w:space="0" w:color="E5E7EB"/>
              <w:right w:val="single" w:sz="4" w:space="0" w:color="E5E7EB"/>
            </w:tcBorders>
          </w:tcPr>
          <w:p>
            <w:r>
              <w:rPr>
                <w:i/>
                <w:color w:val="999999"/>
                <w:sz w:val="17"/>
              </w:rPr>
            </w:r>
          </w:p>
        </w:tc>
        <w:tc>
          <w:tcPr>
            <w:tcW w:type="dxa" w:w="1701"/>
            <w:shd w:val="clear" w:color="auto" w:fill="F9FAFB"/>
            <w:tcBorders>
              <w:top w:val="single" w:sz="4" w:space="0" w:color="E5E7EB"/>
              <w:bottom w:val="single" w:sz="4" w:space="0" w:color="E5E7EB"/>
              <w:left w:val="single" w:sz="4" w:space="0" w:color="E5E7EB"/>
              <w:right w:val="single" w:sz="4" w:space="0" w:color="E5E7EB"/>
            </w:tcBorders>
          </w:tcPr>
          <w:p>
            <w:r>
              <w:rPr>
                <w:i/>
                <w:color w:val="999999"/>
                <w:sz w:val="17"/>
              </w:rPr>
              <w:t>Two quotes received; third expected by 14 Feb</w:t>
            </w:r>
          </w:p>
        </w:tc>
      </w:tr>
      <w:tr>
        <w:tc>
          <w:tcPr>
            <w:tcW w:type="dxa" w:w="1020"/>
            <w:shd w:val="clear" w:color="auto" w:fill="F9FAFB"/>
            <w:tcBorders>
              <w:top w:val="single" w:sz="4" w:space="0" w:color="E5E7EB"/>
              <w:bottom w:val="single" w:sz="4" w:space="0" w:color="E5E7EB"/>
              <w:left w:val="single" w:sz="4" w:space="0" w:color="E5E7EB"/>
              <w:right w:val="single" w:sz="4" w:space="0" w:color="E5E7EB"/>
            </w:tcBorders>
          </w:tcPr>
          <w:p>
            <w:r>
              <w:rPr>
                <w:i/>
                <w:color w:val="999999"/>
                <w:sz w:val="17"/>
              </w:rPr>
              <w:t>2025-002</w:t>
            </w:r>
          </w:p>
        </w:tc>
        <w:tc>
          <w:tcPr>
            <w:tcW w:type="dxa" w:w="1361"/>
            <w:shd w:val="clear" w:color="auto" w:fill="F9FAFB"/>
            <w:tcBorders>
              <w:top w:val="single" w:sz="4" w:space="0" w:color="E5E7EB"/>
              <w:bottom w:val="single" w:sz="4" w:space="0" w:color="E5E7EB"/>
              <w:left w:val="single" w:sz="4" w:space="0" w:color="E5E7EB"/>
              <w:right w:val="single" w:sz="4" w:space="0" w:color="E5E7EB"/>
            </w:tcBorders>
          </w:tcPr>
          <w:p>
            <w:r>
              <w:rPr>
                <w:i/>
                <w:color w:val="999999"/>
                <w:sz w:val="17"/>
              </w:rPr>
              <w:t>15 Jan 2025</w:t>
            </w:r>
          </w:p>
        </w:tc>
        <w:tc>
          <w:tcPr>
            <w:tcW w:type="dxa" w:w="1587"/>
            <w:shd w:val="clear" w:color="auto" w:fill="F9FAFB"/>
            <w:tcBorders>
              <w:top w:val="single" w:sz="4" w:space="0" w:color="E5E7EB"/>
              <w:bottom w:val="single" w:sz="4" w:space="0" w:color="E5E7EB"/>
              <w:left w:val="single" w:sz="4" w:space="0" w:color="E5E7EB"/>
              <w:right w:val="single" w:sz="4" w:space="0" w:color="E5E7EB"/>
            </w:tcBorders>
          </w:tcPr>
          <w:p>
            <w:r>
              <w:rPr>
                <w:i/>
                <w:color w:val="999999"/>
                <w:sz w:val="17"/>
              </w:rPr>
              <w:t>Board Meeting</w:t>
            </w:r>
          </w:p>
        </w:tc>
        <w:tc>
          <w:tcPr>
            <w:tcW w:type="dxa" w:w="3685"/>
            <w:shd w:val="clear" w:color="auto" w:fill="F9FAFB"/>
            <w:tcBorders>
              <w:top w:val="single" w:sz="4" w:space="0" w:color="E5E7EB"/>
              <w:bottom w:val="single" w:sz="4" w:space="0" w:color="E5E7EB"/>
              <w:left w:val="single" w:sz="4" w:space="0" w:color="E5E7EB"/>
              <w:right w:val="single" w:sz="4" w:space="0" w:color="E5E7EB"/>
            </w:tcBorders>
          </w:tcPr>
          <w:p>
            <w:r>
              <w:rPr>
                <w:i/>
                <w:color w:val="999999"/>
                <w:sz w:val="17"/>
              </w:rPr>
              <w:t>Update the conflict of interest register and circulate to all directors for review</w:t>
            </w:r>
          </w:p>
        </w:tc>
        <w:tc>
          <w:tcPr>
            <w:tcW w:type="dxa" w:w="1417"/>
            <w:shd w:val="clear" w:color="auto" w:fill="F9FAFB"/>
            <w:tcBorders>
              <w:top w:val="single" w:sz="4" w:space="0" w:color="E5E7EB"/>
              <w:bottom w:val="single" w:sz="4" w:space="0" w:color="E5E7EB"/>
              <w:left w:val="single" w:sz="4" w:space="0" w:color="E5E7EB"/>
              <w:right w:val="single" w:sz="4" w:space="0" w:color="E5E7EB"/>
            </w:tcBorders>
          </w:tcPr>
          <w:p>
            <w:r>
              <w:rPr>
                <w:i/>
                <w:color w:val="999999"/>
                <w:sz w:val="17"/>
              </w:rPr>
              <w:t>A. Lee (Secretary)</w:t>
            </w:r>
          </w:p>
        </w:tc>
        <w:tc>
          <w:tcPr>
            <w:tcW w:type="dxa" w:w="1361"/>
            <w:shd w:val="clear" w:color="auto" w:fill="F9FAFB"/>
            <w:tcBorders>
              <w:top w:val="single" w:sz="4" w:space="0" w:color="E5E7EB"/>
              <w:bottom w:val="single" w:sz="4" w:space="0" w:color="E5E7EB"/>
              <w:left w:val="single" w:sz="4" w:space="0" w:color="E5E7EB"/>
              <w:right w:val="single" w:sz="4" w:space="0" w:color="E5E7EB"/>
            </w:tcBorders>
          </w:tcPr>
          <w:p>
            <w:r>
              <w:rPr>
                <w:i/>
                <w:color w:val="999999"/>
                <w:sz w:val="17"/>
              </w:rPr>
              <w:t>31 Jan 2025</w:t>
            </w:r>
          </w:p>
        </w:tc>
        <w:tc>
          <w:tcPr>
            <w:tcW w:type="dxa" w:w="1247"/>
            <w:shd w:val="clear" w:color="auto" w:fill="F9FAFB"/>
            <w:tcBorders>
              <w:top w:val="single" w:sz="4" w:space="0" w:color="E5E7EB"/>
              <w:bottom w:val="single" w:sz="4" w:space="0" w:color="E5E7EB"/>
              <w:left w:val="single" w:sz="4" w:space="0" w:color="E5E7EB"/>
              <w:right w:val="single" w:sz="4" w:space="0" w:color="E5E7EB"/>
            </w:tcBorders>
          </w:tcPr>
          <w:p>
            <w:r>
              <w:rPr>
                <w:i/>
                <w:color w:val="999999"/>
                <w:sz w:val="17"/>
              </w:rPr>
              <w:t>Complete</w:t>
            </w:r>
          </w:p>
        </w:tc>
        <w:tc>
          <w:tcPr>
            <w:tcW w:type="dxa" w:w="1361"/>
            <w:shd w:val="clear" w:color="auto" w:fill="F9FAFB"/>
            <w:tcBorders>
              <w:top w:val="single" w:sz="4" w:space="0" w:color="E5E7EB"/>
              <w:bottom w:val="single" w:sz="4" w:space="0" w:color="E5E7EB"/>
              <w:left w:val="single" w:sz="4" w:space="0" w:color="E5E7EB"/>
              <w:right w:val="single" w:sz="4" w:space="0" w:color="E5E7EB"/>
            </w:tcBorders>
          </w:tcPr>
          <w:p>
            <w:r>
              <w:rPr>
                <w:i/>
                <w:color w:val="999999"/>
                <w:sz w:val="17"/>
              </w:rPr>
              <w:t>28 Jan 2025</w:t>
            </w:r>
          </w:p>
        </w:tc>
        <w:tc>
          <w:tcPr>
            <w:tcW w:type="dxa" w:w="1701"/>
            <w:shd w:val="clear" w:color="auto" w:fill="F9FAFB"/>
            <w:tcBorders>
              <w:top w:val="single" w:sz="4" w:space="0" w:color="E5E7EB"/>
              <w:bottom w:val="single" w:sz="4" w:space="0" w:color="E5E7EB"/>
              <w:left w:val="single" w:sz="4" w:space="0" w:color="E5E7EB"/>
              <w:right w:val="single" w:sz="4" w:space="0" w:color="E5E7EB"/>
            </w:tcBorders>
          </w:tcPr>
          <w:p>
            <w:r>
              <w:rPr>
                <w:i/>
                <w:color w:val="999999"/>
                <w:sz w:val="17"/>
              </w:rPr>
              <w:t>Circulated 28 Jan; all directors confirmed</w:t>
            </w:r>
          </w:p>
        </w:tc>
      </w:tr>
      <w:tr>
        <w:tc>
          <w:tcPr>
            <w:tcW w:type="dxa" w:w="1020"/>
            <w:shd w:val="clear" w:color="auto" w:fill="F9FAFB"/>
            <w:tcBorders>
              <w:top w:val="single" w:sz="4" w:space="0" w:color="E5E7EB"/>
              <w:bottom w:val="single" w:sz="4" w:space="0" w:color="E5E7EB"/>
              <w:left w:val="single" w:sz="4" w:space="0" w:color="E5E7EB"/>
              <w:right w:val="single" w:sz="4" w:space="0" w:color="E5E7EB"/>
            </w:tcBorders>
          </w:tcPr>
          <w:p>
            <w:r>
              <w:rPr>
                <w:i/>
                <w:color w:val="999999"/>
                <w:sz w:val="17"/>
              </w:rPr>
              <w:t>2025-003</w:t>
            </w:r>
          </w:p>
        </w:tc>
        <w:tc>
          <w:tcPr>
            <w:tcW w:type="dxa" w:w="1361"/>
            <w:shd w:val="clear" w:color="auto" w:fill="F9FAFB"/>
            <w:tcBorders>
              <w:top w:val="single" w:sz="4" w:space="0" w:color="E5E7EB"/>
              <w:bottom w:val="single" w:sz="4" w:space="0" w:color="E5E7EB"/>
              <w:left w:val="single" w:sz="4" w:space="0" w:color="E5E7EB"/>
              <w:right w:val="single" w:sz="4" w:space="0" w:color="E5E7EB"/>
            </w:tcBorders>
          </w:tcPr>
          <w:p>
            <w:r>
              <w:rPr>
                <w:i/>
                <w:color w:val="999999"/>
                <w:sz w:val="17"/>
              </w:rPr>
              <w:t>15 Jan 2025</w:t>
            </w:r>
          </w:p>
        </w:tc>
        <w:tc>
          <w:tcPr>
            <w:tcW w:type="dxa" w:w="1587"/>
            <w:shd w:val="clear" w:color="auto" w:fill="F9FAFB"/>
            <w:tcBorders>
              <w:top w:val="single" w:sz="4" w:space="0" w:color="E5E7EB"/>
              <w:bottom w:val="single" w:sz="4" w:space="0" w:color="E5E7EB"/>
              <w:left w:val="single" w:sz="4" w:space="0" w:color="E5E7EB"/>
              <w:right w:val="single" w:sz="4" w:space="0" w:color="E5E7EB"/>
            </w:tcBorders>
          </w:tcPr>
          <w:p>
            <w:r>
              <w:rPr>
                <w:i/>
                <w:color w:val="999999"/>
                <w:sz w:val="17"/>
              </w:rPr>
              <w:t>Board Meeting</w:t>
            </w:r>
          </w:p>
        </w:tc>
        <w:tc>
          <w:tcPr>
            <w:tcW w:type="dxa" w:w="3685"/>
            <w:shd w:val="clear" w:color="auto" w:fill="F9FAFB"/>
            <w:tcBorders>
              <w:top w:val="single" w:sz="4" w:space="0" w:color="E5E7EB"/>
              <w:bottom w:val="single" w:sz="4" w:space="0" w:color="E5E7EB"/>
              <w:left w:val="single" w:sz="4" w:space="0" w:color="E5E7EB"/>
              <w:right w:val="single" w:sz="4" w:space="0" w:color="E5E7EB"/>
            </w:tcBorders>
          </w:tcPr>
          <w:p>
            <w:r>
              <w:rPr>
                <w:i/>
                <w:color w:val="999999"/>
                <w:sz w:val="17"/>
              </w:rPr>
              <w:t>Draft a board skills matrix for discussion at the next Governance Committee meeting</w:t>
            </w:r>
          </w:p>
        </w:tc>
        <w:tc>
          <w:tcPr>
            <w:tcW w:type="dxa" w:w="1417"/>
            <w:shd w:val="clear" w:color="auto" w:fill="F9FAFB"/>
            <w:tcBorders>
              <w:top w:val="single" w:sz="4" w:space="0" w:color="E5E7EB"/>
              <w:bottom w:val="single" w:sz="4" w:space="0" w:color="E5E7EB"/>
              <w:left w:val="single" w:sz="4" w:space="0" w:color="E5E7EB"/>
              <w:right w:val="single" w:sz="4" w:space="0" w:color="E5E7EB"/>
            </w:tcBorders>
          </w:tcPr>
          <w:p>
            <w:r>
              <w:rPr>
                <w:i/>
                <w:color w:val="999999"/>
                <w:sz w:val="17"/>
              </w:rPr>
              <w:t>R. Patel (Chair)</w:t>
            </w:r>
          </w:p>
        </w:tc>
        <w:tc>
          <w:tcPr>
            <w:tcW w:type="dxa" w:w="1361"/>
            <w:shd w:val="clear" w:color="auto" w:fill="F9FAFB"/>
            <w:tcBorders>
              <w:top w:val="single" w:sz="4" w:space="0" w:color="E5E7EB"/>
              <w:bottom w:val="single" w:sz="4" w:space="0" w:color="E5E7EB"/>
              <w:left w:val="single" w:sz="4" w:space="0" w:color="E5E7EB"/>
              <w:right w:val="single" w:sz="4" w:space="0" w:color="E5E7EB"/>
            </w:tcBorders>
          </w:tcPr>
          <w:p>
            <w:r>
              <w:rPr>
                <w:i/>
                <w:color w:val="999999"/>
                <w:sz w:val="17"/>
              </w:rPr>
              <w:t>15 Mar 2025</w:t>
            </w:r>
          </w:p>
        </w:tc>
        <w:tc>
          <w:tcPr>
            <w:tcW w:type="dxa" w:w="1247"/>
            <w:shd w:val="clear" w:color="auto" w:fill="F9FAFB"/>
            <w:tcBorders>
              <w:top w:val="single" w:sz="4" w:space="0" w:color="E5E7EB"/>
              <w:bottom w:val="single" w:sz="4" w:space="0" w:color="E5E7EB"/>
              <w:left w:val="single" w:sz="4" w:space="0" w:color="E5E7EB"/>
              <w:right w:val="single" w:sz="4" w:space="0" w:color="E5E7EB"/>
            </w:tcBorders>
          </w:tcPr>
          <w:p>
            <w:r>
              <w:rPr>
                <w:i/>
                <w:color w:val="999999"/>
                <w:sz w:val="17"/>
              </w:rPr>
              <w:t>Not Started</w:t>
            </w:r>
          </w:p>
        </w:tc>
        <w:tc>
          <w:tcPr>
            <w:tcW w:type="dxa" w:w="1361"/>
            <w:shd w:val="clear" w:color="auto" w:fill="F9FAFB"/>
            <w:tcBorders>
              <w:top w:val="single" w:sz="4" w:space="0" w:color="E5E7EB"/>
              <w:bottom w:val="single" w:sz="4" w:space="0" w:color="E5E7EB"/>
              <w:left w:val="single" w:sz="4" w:space="0" w:color="E5E7EB"/>
              <w:right w:val="single" w:sz="4" w:space="0" w:color="E5E7EB"/>
            </w:tcBorders>
          </w:tcPr>
          <w:p>
            <w:r>
              <w:rPr>
                <w:i/>
                <w:color w:val="999999"/>
                <w:sz w:val="17"/>
              </w:rPr>
            </w:r>
          </w:p>
        </w:tc>
        <w:tc>
          <w:tcPr>
            <w:tcW w:type="dxa" w:w="1701"/>
            <w:shd w:val="clear" w:color="auto" w:fill="F9FAFB"/>
            <w:tcBorders>
              <w:top w:val="single" w:sz="4" w:space="0" w:color="E5E7EB"/>
              <w:bottom w:val="single" w:sz="4" w:space="0" w:color="E5E7EB"/>
              <w:left w:val="single" w:sz="4" w:space="0" w:color="E5E7EB"/>
              <w:right w:val="single" w:sz="4" w:space="0" w:color="E5E7EB"/>
            </w:tcBorders>
          </w:tcPr>
          <w:p>
            <w:r>
              <w:rPr>
                <w:i/>
                <w:color w:val="999999"/>
                <w:sz w:val="17"/>
              </w:rPr>
              <w:t>Agenda item for Mar Governance Committee</w:t>
            </w:r>
          </w:p>
        </w:tc>
      </w:tr>
      <w:tr>
        <w:tc>
          <w:tcPr>
            <w:tcW w:type="dxa" w:w="1020"/>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587"/>
            <w:tcBorders>
              <w:top w:val="single" w:sz="4" w:space="0" w:color="E5E7EB"/>
              <w:bottom w:val="single" w:sz="4" w:space="0" w:color="E5E7EB"/>
              <w:left w:val="single" w:sz="4" w:space="0" w:color="E5E7EB"/>
              <w:right w:val="single" w:sz="4" w:space="0" w:color="E5E7EB"/>
            </w:tcBorders>
          </w:tcPr>
          <w:p/>
        </w:tc>
        <w:tc>
          <w:tcPr>
            <w:tcW w:type="dxa" w:w="3685"/>
            <w:tcBorders>
              <w:top w:val="single" w:sz="4" w:space="0" w:color="E5E7EB"/>
              <w:bottom w:val="single" w:sz="4" w:space="0" w:color="E5E7EB"/>
              <w:left w:val="single" w:sz="4" w:space="0" w:color="E5E7EB"/>
              <w:right w:val="single" w:sz="4" w:space="0" w:color="E5E7EB"/>
            </w:tcBorders>
          </w:tcPr>
          <w:p/>
        </w:tc>
        <w:tc>
          <w:tcPr>
            <w:tcW w:type="dxa" w:w="1417"/>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247"/>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701"/>
            <w:tcBorders>
              <w:top w:val="single" w:sz="4" w:space="0" w:color="E5E7EB"/>
              <w:bottom w:val="single" w:sz="4" w:space="0" w:color="E5E7EB"/>
              <w:left w:val="single" w:sz="4" w:space="0" w:color="E5E7EB"/>
              <w:right w:val="single" w:sz="4" w:space="0" w:color="E5E7EB"/>
            </w:tcBorders>
          </w:tcPr>
          <w:p/>
        </w:tc>
      </w:tr>
      <w:tr>
        <w:tc>
          <w:tcPr>
            <w:tcW w:type="dxa" w:w="1020"/>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587"/>
            <w:tcBorders>
              <w:top w:val="single" w:sz="4" w:space="0" w:color="E5E7EB"/>
              <w:bottom w:val="single" w:sz="4" w:space="0" w:color="E5E7EB"/>
              <w:left w:val="single" w:sz="4" w:space="0" w:color="E5E7EB"/>
              <w:right w:val="single" w:sz="4" w:space="0" w:color="E5E7EB"/>
            </w:tcBorders>
          </w:tcPr>
          <w:p/>
        </w:tc>
        <w:tc>
          <w:tcPr>
            <w:tcW w:type="dxa" w:w="3685"/>
            <w:tcBorders>
              <w:top w:val="single" w:sz="4" w:space="0" w:color="E5E7EB"/>
              <w:bottom w:val="single" w:sz="4" w:space="0" w:color="E5E7EB"/>
              <w:left w:val="single" w:sz="4" w:space="0" w:color="E5E7EB"/>
              <w:right w:val="single" w:sz="4" w:space="0" w:color="E5E7EB"/>
            </w:tcBorders>
          </w:tcPr>
          <w:p/>
        </w:tc>
        <w:tc>
          <w:tcPr>
            <w:tcW w:type="dxa" w:w="1417"/>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247"/>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701"/>
            <w:tcBorders>
              <w:top w:val="single" w:sz="4" w:space="0" w:color="E5E7EB"/>
              <w:bottom w:val="single" w:sz="4" w:space="0" w:color="E5E7EB"/>
              <w:left w:val="single" w:sz="4" w:space="0" w:color="E5E7EB"/>
              <w:right w:val="single" w:sz="4" w:space="0" w:color="E5E7EB"/>
            </w:tcBorders>
          </w:tcPr>
          <w:p/>
        </w:tc>
      </w:tr>
      <w:tr>
        <w:tc>
          <w:tcPr>
            <w:tcW w:type="dxa" w:w="1020"/>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587"/>
            <w:tcBorders>
              <w:top w:val="single" w:sz="4" w:space="0" w:color="E5E7EB"/>
              <w:bottom w:val="single" w:sz="4" w:space="0" w:color="E5E7EB"/>
              <w:left w:val="single" w:sz="4" w:space="0" w:color="E5E7EB"/>
              <w:right w:val="single" w:sz="4" w:space="0" w:color="E5E7EB"/>
            </w:tcBorders>
          </w:tcPr>
          <w:p/>
        </w:tc>
        <w:tc>
          <w:tcPr>
            <w:tcW w:type="dxa" w:w="3685"/>
            <w:tcBorders>
              <w:top w:val="single" w:sz="4" w:space="0" w:color="E5E7EB"/>
              <w:bottom w:val="single" w:sz="4" w:space="0" w:color="E5E7EB"/>
              <w:left w:val="single" w:sz="4" w:space="0" w:color="E5E7EB"/>
              <w:right w:val="single" w:sz="4" w:space="0" w:color="E5E7EB"/>
            </w:tcBorders>
          </w:tcPr>
          <w:p/>
        </w:tc>
        <w:tc>
          <w:tcPr>
            <w:tcW w:type="dxa" w:w="1417"/>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247"/>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701"/>
            <w:tcBorders>
              <w:top w:val="single" w:sz="4" w:space="0" w:color="E5E7EB"/>
              <w:bottom w:val="single" w:sz="4" w:space="0" w:color="E5E7EB"/>
              <w:left w:val="single" w:sz="4" w:space="0" w:color="E5E7EB"/>
              <w:right w:val="single" w:sz="4" w:space="0" w:color="E5E7EB"/>
            </w:tcBorders>
          </w:tcPr>
          <w:p/>
        </w:tc>
      </w:tr>
      <w:tr>
        <w:tc>
          <w:tcPr>
            <w:tcW w:type="dxa" w:w="1020"/>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587"/>
            <w:tcBorders>
              <w:top w:val="single" w:sz="4" w:space="0" w:color="E5E7EB"/>
              <w:bottom w:val="single" w:sz="4" w:space="0" w:color="E5E7EB"/>
              <w:left w:val="single" w:sz="4" w:space="0" w:color="E5E7EB"/>
              <w:right w:val="single" w:sz="4" w:space="0" w:color="E5E7EB"/>
            </w:tcBorders>
          </w:tcPr>
          <w:p/>
        </w:tc>
        <w:tc>
          <w:tcPr>
            <w:tcW w:type="dxa" w:w="3685"/>
            <w:tcBorders>
              <w:top w:val="single" w:sz="4" w:space="0" w:color="E5E7EB"/>
              <w:bottom w:val="single" w:sz="4" w:space="0" w:color="E5E7EB"/>
              <w:left w:val="single" w:sz="4" w:space="0" w:color="E5E7EB"/>
              <w:right w:val="single" w:sz="4" w:space="0" w:color="E5E7EB"/>
            </w:tcBorders>
          </w:tcPr>
          <w:p/>
        </w:tc>
        <w:tc>
          <w:tcPr>
            <w:tcW w:type="dxa" w:w="1417"/>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247"/>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701"/>
            <w:tcBorders>
              <w:top w:val="single" w:sz="4" w:space="0" w:color="E5E7EB"/>
              <w:bottom w:val="single" w:sz="4" w:space="0" w:color="E5E7EB"/>
              <w:left w:val="single" w:sz="4" w:space="0" w:color="E5E7EB"/>
              <w:right w:val="single" w:sz="4" w:space="0" w:color="E5E7EB"/>
            </w:tcBorders>
          </w:tcPr>
          <w:p/>
        </w:tc>
      </w:tr>
      <w:tr>
        <w:tc>
          <w:tcPr>
            <w:tcW w:type="dxa" w:w="1020"/>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587"/>
            <w:tcBorders>
              <w:top w:val="single" w:sz="4" w:space="0" w:color="E5E7EB"/>
              <w:bottom w:val="single" w:sz="4" w:space="0" w:color="E5E7EB"/>
              <w:left w:val="single" w:sz="4" w:space="0" w:color="E5E7EB"/>
              <w:right w:val="single" w:sz="4" w:space="0" w:color="E5E7EB"/>
            </w:tcBorders>
          </w:tcPr>
          <w:p/>
        </w:tc>
        <w:tc>
          <w:tcPr>
            <w:tcW w:type="dxa" w:w="3685"/>
            <w:tcBorders>
              <w:top w:val="single" w:sz="4" w:space="0" w:color="E5E7EB"/>
              <w:bottom w:val="single" w:sz="4" w:space="0" w:color="E5E7EB"/>
              <w:left w:val="single" w:sz="4" w:space="0" w:color="E5E7EB"/>
              <w:right w:val="single" w:sz="4" w:space="0" w:color="E5E7EB"/>
            </w:tcBorders>
          </w:tcPr>
          <w:p/>
        </w:tc>
        <w:tc>
          <w:tcPr>
            <w:tcW w:type="dxa" w:w="1417"/>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247"/>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701"/>
            <w:tcBorders>
              <w:top w:val="single" w:sz="4" w:space="0" w:color="E5E7EB"/>
              <w:bottom w:val="single" w:sz="4" w:space="0" w:color="E5E7EB"/>
              <w:left w:val="single" w:sz="4" w:space="0" w:color="E5E7EB"/>
              <w:right w:val="single" w:sz="4" w:space="0" w:color="E5E7EB"/>
            </w:tcBorders>
          </w:tcPr>
          <w:p/>
        </w:tc>
      </w:tr>
      <w:tr>
        <w:tc>
          <w:tcPr>
            <w:tcW w:type="dxa" w:w="1020"/>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587"/>
            <w:tcBorders>
              <w:top w:val="single" w:sz="4" w:space="0" w:color="E5E7EB"/>
              <w:bottom w:val="single" w:sz="4" w:space="0" w:color="E5E7EB"/>
              <w:left w:val="single" w:sz="4" w:space="0" w:color="E5E7EB"/>
              <w:right w:val="single" w:sz="4" w:space="0" w:color="E5E7EB"/>
            </w:tcBorders>
          </w:tcPr>
          <w:p/>
        </w:tc>
        <w:tc>
          <w:tcPr>
            <w:tcW w:type="dxa" w:w="3685"/>
            <w:tcBorders>
              <w:top w:val="single" w:sz="4" w:space="0" w:color="E5E7EB"/>
              <w:bottom w:val="single" w:sz="4" w:space="0" w:color="E5E7EB"/>
              <w:left w:val="single" w:sz="4" w:space="0" w:color="E5E7EB"/>
              <w:right w:val="single" w:sz="4" w:space="0" w:color="E5E7EB"/>
            </w:tcBorders>
          </w:tcPr>
          <w:p/>
        </w:tc>
        <w:tc>
          <w:tcPr>
            <w:tcW w:type="dxa" w:w="1417"/>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247"/>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701"/>
            <w:tcBorders>
              <w:top w:val="single" w:sz="4" w:space="0" w:color="E5E7EB"/>
              <w:bottom w:val="single" w:sz="4" w:space="0" w:color="E5E7EB"/>
              <w:left w:val="single" w:sz="4" w:space="0" w:color="E5E7EB"/>
              <w:right w:val="single" w:sz="4" w:space="0" w:color="E5E7EB"/>
            </w:tcBorders>
          </w:tcPr>
          <w:p/>
        </w:tc>
      </w:tr>
      <w:tr>
        <w:tc>
          <w:tcPr>
            <w:tcW w:type="dxa" w:w="1020"/>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587"/>
            <w:tcBorders>
              <w:top w:val="single" w:sz="4" w:space="0" w:color="E5E7EB"/>
              <w:bottom w:val="single" w:sz="4" w:space="0" w:color="E5E7EB"/>
              <w:left w:val="single" w:sz="4" w:space="0" w:color="E5E7EB"/>
              <w:right w:val="single" w:sz="4" w:space="0" w:color="E5E7EB"/>
            </w:tcBorders>
          </w:tcPr>
          <w:p/>
        </w:tc>
        <w:tc>
          <w:tcPr>
            <w:tcW w:type="dxa" w:w="3685"/>
            <w:tcBorders>
              <w:top w:val="single" w:sz="4" w:space="0" w:color="E5E7EB"/>
              <w:bottom w:val="single" w:sz="4" w:space="0" w:color="E5E7EB"/>
              <w:left w:val="single" w:sz="4" w:space="0" w:color="E5E7EB"/>
              <w:right w:val="single" w:sz="4" w:space="0" w:color="E5E7EB"/>
            </w:tcBorders>
          </w:tcPr>
          <w:p/>
        </w:tc>
        <w:tc>
          <w:tcPr>
            <w:tcW w:type="dxa" w:w="1417"/>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247"/>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701"/>
            <w:tcBorders>
              <w:top w:val="single" w:sz="4" w:space="0" w:color="E5E7EB"/>
              <w:bottom w:val="single" w:sz="4" w:space="0" w:color="E5E7EB"/>
              <w:left w:val="single" w:sz="4" w:space="0" w:color="E5E7EB"/>
              <w:right w:val="single" w:sz="4" w:space="0" w:color="E5E7EB"/>
            </w:tcBorders>
          </w:tcPr>
          <w:p/>
        </w:tc>
      </w:tr>
      <w:tr>
        <w:tc>
          <w:tcPr>
            <w:tcW w:type="dxa" w:w="1020"/>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587"/>
            <w:tcBorders>
              <w:top w:val="single" w:sz="4" w:space="0" w:color="E5E7EB"/>
              <w:bottom w:val="single" w:sz="4" w:space="0" w:color="E5E7EB"/>
              <w:left w:val="single" w:sz="4" w:space="0" w:color="E5E7EB"/>
              <w:right w:val="single" w:sz="4" w:space="0" w:color="E5E7EB"/>
            </w:tcBorders>
          </w:tcPr>
          <w:p/>
        </w:tc>
        <w:tc>
          <w:tcPr>
            <w:tcW w:type="dxa" w:w="3685"/>
            <w:tcBorders>
              <w:top w:val="single" w:sz="4" w:space="0" w:color="E5E7EB"/>
              <w:bottom w:val="single" w:sz="4" w:space="0" w:color="E5E7EB"/>
              <w:left w:val="single" w:sz="4" w:space="0" w:color="E5E7EB"/>
              <w:right w:val="single" w:sz="4" w:space="0" w:color="E5E7EB"/>
            </w:tcBorders>
          </w:tcPr>
          <w:p/>
        </w:tc>
        <w:tc>
          <w:tcPr>
            <w:tcW w:type="dxa" w:w="1417"/>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247"/>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701"/>
            <w:tcBorders>
              <w:top w:val="single" w:sz="4" w:space="0" w:color="E5E7EB"/>
              <w:bottom w:val="single" w:sz="4" w:space="0" w:color="E5E7EB"/>
              <w:left w:val="single" w:sz="4" w:space="0" w:color="E5E7EB"/>
              <w:right w:val="single" w:sz="4" w:space="0" w:color="E5E7EB"/>
            </w:tcBorders>
          </w:tcPr>
          <w:p/>
        </w:tc>
      </w:tr>
      <w:tr>
        <w:tc>
          <w:tcPr>
            <w:tcW w:type="dxa" w:w="1020"/>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587"/>
            <w:tcBorders>
              <w:top w:val="single" w:sz="4" w:space="0" w:color="E5E7EB"/>
              <w:bottom w:val="single" w:sz="4" w:space="0" w:color="E5E7EB"/>
              <w:left w:val="single" w:sz="4" w:space="0" w:color="E5E7EB"/>
              <w:right w:val="single" w:sz="4" w:space="0" w:color="E5E7EB"/>
            </w:tcBorders>
          </w:tcPr>
          <w:p/>
        </w:tc>
        <w:tc>
          <w:tcPr>
            <w:tcW w:type="dxa" w:w="3685"/>
            <w:tcBorders>
              <w:top w:val="single" w:sz="4" w:space="0" w:color="E5E7EB"/>
              <w:bottom w:val="single" w:sz="4" w:space="0" w:color="E5E7EB"/>
              <w:left w:val="single" w:sz="4" w:space="0" w:color="E5E7EB"/>
              <w:right w:val="single" w:sz="4" w:space="0" w:color="E5E7EB"/>
            </w:tcBorders>
          </w:tcPr>
          <w:p/>
        </w:tc>
        <w:tc>
          <w:tcPr>
            <w:tcW w:type="dxa" w:w="1417"/>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247"/>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701"/>
            <w:tcBorders>
              <w:top w:val="single" w:sz="4" w:space="0" w:color="E5E7EB"/>
              <w:bottom w:val="single" w:sz="4" w:space="0" w:color="E5E7EB"/>
              <w:left w:val="single" w:sz="4" w:space="0" w:color="E5E7EB"/>
              <w:right w:val="single" w:sz="4" w:space="0" w:color="E5E7EB"/>
            </w:tcBorders>
          </w:tcPr>
          <w:p/>
        </w:tc>
      </w:tr>
      <w:tr>
        <w:tc>
          <w:tcPr>
            <w:tcW w:type="dxa" w:w="1020"/>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587"/>
            <w:tcBorders>
              <w:top w:val="single" w:sz="4" w:space="0" w:color="E5E7EB"/>
              <w:bottom w:val="single" w:sz="4" w:space="0" w:color="E5E7EB"/>
              <w:left w:val="single" w:sz="4" w:space="0" w:color="E5E7EB"/>
              <w:right w:val="single" w:sz="4" w:space="0" w:color="E5E7EB"/>
            </w:tcBorders>
          </w:tcPr>
          <w:p/>
        </w:tc>
        <w:tc>
          <w:tcPr>
            <w:tcW w:type="dxa" w:w="3685"/>
            <w:tcBorders>
              <w:top w:val="single" w:sz="4" w:space="0" w:color="E5E7EB"/>
              <w:bottom w:val="single" w:sz="4" w:space="0" w:color="E5E7EB"/>
              <w:left w:val="single" w:sz="4" w:space="0" w:color="E5E7EB"/>
              <w:right w:val="single" w:sz="4" w:space="0" w:color="E5E7EB"/>
            </w:tcBorders>
          </w:tcPr>
          <w:p/>
        </w:tc>
        <w:tc>
          <w:tcPr>
            <w:tcW w:type="dxa" w:w="1417"/>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247"/>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701"/>
            <w:tcBorders>
              <w:top w:val="single" w:sz="4" w:space="0" w:color="E5E7EB"/>
              <w:bottom w:val="single" w:sz="4" w:space="0" w:color="E5E7EB"/>
              <w:left w:val="single" w:sz="4" w:space="0" w:color="E5E7EB"/>
              <w:right w:val="single" w:sz="4" w:space="0" w:color="E5E7EB"/>
            </w:tcBorders>
          </w:tcPr>
          <w:p/>
        </w:tc>
      </w:tr>
      <w:tr>
        <w:tc>
          <w:tcPr>
            <w:tcW w:type="dxa" w:w="1020"/>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587"/>
            <w:tcBorders>
              <w:top w:val="single" w:sz="4" w:space="0" w:color="E5E7EB"/>
              <w:bottom w:val="single" w:sz="4" w:space="0" w:color="E5E7EB"/>
              <w:left w:val="single" w:sz="4" w:space="0" w:color="E5E7EB"/>
              <w:right w:val="single" w:sz="4" w:space="0" w:color="E5E7EB"/>
            </w:tcBorders>
          </w:tcPr>
          <w:p/>
        </w:tc>
        <w:tc>
          <w:tcPr>
            <w:tcW w:type="dxa" w:w="3685"/>
            <w:tcBorders>
              <w:top w:val="single" w:sz="4" w:space="0" w:color="E5E7EB"/>
              <w:bottom w:val="single" w:sz="4" w:space="0" w:color="E5E7EB"/>
              <w:left w:val="single" w:sz="4" w:space="0" w:color="E5E7EB"/>
              <w:right w:val="single" w:sz="4" w:space="0" w:color="E5E7EB"/>
            </w:tcBorders>
          </w:tcPr>
          <w:p/>
        </w:tc>
        <w:tc>
          <w:tcPr>
            <w:tcW w:type="dxa" w:w="1417"/>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247"/>
            <w:tcBorders>
              <w:top w:val="single" w:sz="4" w:space="0" w:color="E5E7EB"/>
              <w:bottom w:val="single" w:sz="4" w:space="0" w:color="E5E7EB"/>
              <w:left w:val="single" w:sz="4" w:space="0" w:color="E5E7EB"/>
              <w:right w:val="single" w:sz="4" w:space="0" w:color="E5E7EB"/>
            </w:tcBorders>
          </w:tcPr>
          <w:p/>
        </w:tc>
        <w:tc>
          <w:tcPr>
            <w:tcW w:type="dxa" w:w="1361"/>
            <w:tcBorders>
              <w:top w:val="single" w:sz="4" w:space="0" w:color="E5E7EB"/>
              <w:bottom w:val="single" w:sz="4" w:space="0" w:color="E5E7EB"/>
              <w:left w:val="single" w:sz="4" w:space="0" w:color="E5E7EB"/>
              <w:right w:val="single" w:sz="4" w:space="0" w:color="E5E7EB"/>
            </w:tcBorders>
          </w:tcPr>
          <w:p/>
        </w:tc>
        <w:tc>
          <w:tcPr>
            <w:tcW w:type="dxa" w:w="1701"/>
            <w:tcBorders>
              <w:top w:val="single" w:sz="4" w:space="0" w:color="E5E7EB"/>
              <w:bottom w:val="single" w:sz="4" w:space="0" w:color="E5E7EB"/>
              <w:left w:val="single" w:sz="4" w:space="0" w:color="E5E7EB"/>
              <w:right w:val="single" w:sz="4" w:space="0" w:color="E5E7EB"/>
            </w:tcBorders>
          </w:tcPr>
          <w:p/>
        </w:tc>
      </w:tr>
    </w:tbl>
    <w:p>
      <w:pPr>
        <w:spacing w:before="0" w:after="0"/>
      </w:pPr>
      <w:r>
        <w:rPr>
          <w:sz w:val="12"/>
        </w:rPr>
      </w:r>
    </w:p>
    <w:p>
      <w:r>
        <w:rPr>
          <w:i/>
          <w:color w:val="888888"/>
          <w:sz w:val="20"/>
        </w:rPr>
        <w:t>Tip: Number actions by year and sequence (e.g. 2025-001, 2025-002) for easy reference. Remove completed actions to a separate "Closed Actions" sheet at the end of each quarter.</w:t>
      </w:r>
    </w:p>
    <w:p>
      <w:r>
        <w:br w:type="page"/>
      </w:r>
    </w:p>
    <w:p>
      <w:pPr>
        <w:sectPr>
          <w:pgSz w:w="16838" w:h="11906" w:orient="landscape"/>
          <w:pgMar w:top="1134" w:right="1134" w:bottom="1134" w:left="1134" w:header="720" w:footer="720" w:gutter="0"/>
          <w:cols w:space="720"/>
          <w:docGrid w:linePitch="360"/>
        </w:sectPr>
      </w:pPr>
    </w:p>
    <w:p>
      <w:pPr>
        <w:pStyle w:val="Heading2"/>
      </w:pPr>
      <w:r>
        <w:rPr>
          <w:color w:val="0D9488"/>
        </w:rPr>
        <w:t>Guidance Notes: Using an Action Register</w:t>
      </w:r>
    </w:p>
    <w:p>
      <w:pPr>
        <w:pStyle w:val="Heading3"/>
      </w:pPr>
      <w:r>
        <w:rPr>
          <w:color w:val="0D9488"/>
        </w:rPr>
        <w:t>How to use this register</w:t>
      </w:r>
    </w:p>
    <w:p>
      <w:r>
        <w:t>The action register is a living document that tracks tasks assigned during board and committee meetings. It bridges the gap between decisions made in the boardroom and work completed between meetings.</w:t>
      </w:r>
    </w:p>
    <w:p>
      <w:pPr>
        <w:spacing w:before="40" w:after="40"/>
        <w:ind w:left="283"/>
      </w:pPr>
      <w:r>
        <w:rPr>
          <w:b/>
          <w:sz w:val="21"/>
        </w:rPr>
        <w:t xml:space="preserve">1. </w:t>
      </w:r>
      <w:r>
        <w:rPr>
          <w:sz w:val="21"/>
        </w:rPr>
        <w:t>During the meeting, record each new action item immediately — including who is responsible and when it is due.</w:t>
      </w:r>
    </w:p>
    <w:p>
      <w:pPr>
        <w:spacing w:before="40" w:after="40"/>
        <w:ind w:left="283"/>
      </w:pPr>
      <w:r>
        <w:rPr>
          <w:b/>
          <w:sz w:val="21"/>
        </w:rPr>
        <w:t xml:space="preserve">2. </w:t>
      </w:r>
      <w:r>
        <w:rPr>
          <w:sz w:val="21"/>
        </w:rPr>
        <w:t>After the meeting, the minute-taker adds new actions to this register and circulates it with the draft minutes.</w:t>
      </w:r>
    </w:p>
    <w:p>
      <w:pPr>
        <w:spacing w:before="40" w:after="40"/>
        <w:ind w:left="283"/>
      </w:pPr>
      <w:r>
        <w:rPr>
          <w:b/>
          <w:sz w:val="21"/>
        </w:rPr>
        <w:t xml:space="preserve">3. </w:t>
      </w:r>
      <w:r>
        <w:rPr>
          <w:sz w:val="21"/>
        </w:rPr>
        <w:t>At the next meeting, the register is reviewed under "Matters Arising" or "Outstanding Actions". Each assignee provides a brief status update.</w:t>
      </w:r>
    </w:p>
    <w:p>
      <w:pPr>
        <w:spacing w:before="40" w:after="40"/>
        <w:ind w:left="283"/>
      </w:pPr>
      <w:r>
        <w:rPr>
          <w:b/>
          <w:sz w:val="21"/>
        </w:rPr>
        <w:t xml:space="preserve">4. </w:t>
      </w:r>
      <w:r>
        <w:rPr>
          <w:sz w:val="21"/>
        </w:rPr>
        <w:t>Update the Status and Notes columns as actions progress. Mark completed actions and record the completion date.</w:t>
      </w:r>
    </w:p>
    <w:p>
      <w:pPr>
        <w:spacing w:before="40" w:after="40"/>
        <w:ind w:left="283"/>
      </w:pPr>
      <w:r>
        <w:rPr>
          <w:b/>
          <w:sz w:val="21"/>
        </w:rPr>
        <w:t xml:space="preserve">5. </w:t>
      </w:r>
      <w:r>
        <w:rPr>
          <w:sz w:val="21"/>
        </w:rPr>
        <w:t>At the end of each quarter (or as suits your meeting cycle), move closed items to a separate archive sheet to keep the register manageable.</w:t>
      </w:r>
    </w:p>
    <w:p>
      <w:pPr>
        <w:spacing w:before="0" w:after="0"/>
      </w:pPr>
      <w:r>
        <w:rPr>
          <w:sz w:val="12"/>
        </w:rPr>
      </w:r>
    </w:p>
    <w:p>
      <w:pPr>
        <w:pStyle w:val="Heading3"/>
      </w:pPr>
      <w:r>
        <w:rPr>
          <w:color w:val="0D9488"/>
        </w:rPr>
        <w:t>What makes a good action item?</w:t>
      </w:r>
    </w:p>
    <w:p>
      <w:r>
        <w:t>Vague actions don't get done. Every action item recorded in the register should meet these criteria:</w:t>
      </w:r>
    </w:p>
    <w:p>
      <w:pPr>
        <w:spacing w:before="80" w:after="40"/>
        <w:ind w:left="283"/>
      </w:pPr>
      <w:r>
        <w:rPr>
          <w:b/>
          <w:sz w:val="21"/>
        </w:rPr>
        <w:t xml:space="preserve">Specific: </w:t>
      </w:r>
      <w:r>
        <w:rPr>
          <w:sz w:val="21"/>
        </w:rPr>
        <w:t>Describe exactly what needs to happen. "Look into insurance" is vague; "Obtain three quotes for Directors &amp; Officers insurance and present a comparison to the board" is actionable.</w:t>
      </w:r>
    </w:p>
    <w:p>
      <w:pPr>
        <w:spacing w:before="80" w:after="40"/>
        <w:ind w:left="283"/>
      </w:pPr>
      <w:r>
        <w:rPr>
          <w:b/>
          <w:sz w:val="21"/>
        </w:rPr>
        <w:t xml:space="preserve">Assigned to one person: </w:t>
      </w:r>
      <w:r>
        <w:rPr>
          <w:sz w:val="21"/>
        </w:rPr>
        <w:t>Even if a task involves multiple people, one person must own it. Group ownership means no one is accountable.</w:t>
      </w:r>
    </w:p>
    <w:p>
      <w:pPr>
        <w:spacing w:before="80" w:after="40"/>
        <w:ind w:left="283"/>
      </w:pPr>
      <w:r>
        <w:rPr>
          <w:b/>
          <w:sz w:val="21"/>
        </w:rPr>
        <w:t xml:space="preserve">Has a deadline: </w:t>
      </w:r>
      <w:r>
        <w:rPr>
          <w:sz w:val="21"/>
        </w:rPr>
        <w:t>Every action needs a due date. Without one, it will drift to the bottom of everyone's list. Due dates should be realistic but firm.</w:t>
      </w:r>
    </w:p>
    <w:p>
      <w:pPr>
        <w:spacing w:before="80" w:after="40"/>
        <w:ind w:left="283"/>
      </w:pPr>
      <w:r>
        <w:rPr>
          <w:b/>
          <w:sz w:val="21"/>
        </w:rPr>
        <w:t xml:space="preserve">Linked to the agenda: </w:t>
      </w:r>
      <w:r>
        <w:rPr>
          <w:sz w:val="21"/>
        </w:rPr>
        <w:t>Note which meeting and agenda item the action arose from. This provides context when reviewing at the next meeting.</w:t>
      </w:r>
    </w:p>
    <w:p>
      <w:pPr>
        <w:spacing w:before="80" w:after="40"/>
        <w:ind w:left="283"/>
      </w:pPr>
      <w:r>
        <w:rPr>
          <w:b/>
          <w:sz w:val="21"/>
        </w:rPr>
        <w:t xml:space="preserve">Measurable: </w:t>
      </w:r>
      <w:r>
        <w:rPr>
          <w:sz w:val="21"/>
        </w:rPr>
        <w:t>You should be able to tell whether the action has been completed. "Improve communications" is not measurable; "Draft a stakeholder communications plan for board approval" is.</w:t>
      </w:r>
    </w:p>
    <w:p>
      <w:pPr>
        <w:spacing w:before="0" w:after="0"/>
      </w:pPr>
      <w:r>
        <w:rPr>
          <w:sz w:val="12"/>
        </w:rPr>
      </w:r>
    </w:p>
    <w:p>
      <w:pPr>
        <w:pStyle w:val="Heading3"/>
      </w:pPr>
      <w:r>
        <w:rPr>
          <w:color w:val="0D9488"/>
        </w:rPr>
        <w:t>Suggested status values</w:t>
      </w:r>
    </w:p>
    <w:p>
      <w:r>
        <w:t>Use a consistent set of status values so the register is easy to scan at a glance:</w:t>
      </w:r>
    </w:p>
    <w:tbl>
      <w:tblPr>
        <w:tblStyle w:val="LightGrid-Accent1"/>
        <w:tblW w:type="auto" w:w="0"/>
        <w:jc w:val="left"/>
        <w:tblLook w:firstColumn="1" w:firstRow="1" w:lastColumn="0" w:lastRow="0" w:noHBand="0" w:noVBand="1" w:val="04A0"/>
      </w:tblPr>
      <w:tblGrid>
        <w:gridCol w:w="4536"/>
        <w:gridCol w:w="4536"/>
      </w:tblGrid>
      <w:tr>
        <w:tc>
          <w:tcPr>
            <w:tcW w:type="dxa" w:w="4536"/>
          </w:tcPr>
          <w:p>
            <w:r>
              <w:rPr>
                <w:b/>
                <w:sz w:val="19"/>
              </w:rPr>
              <w:t>Status</w:t>
            </w:r>
          </w:p>
        </w:tc>
        <w:tc>
          <w:tcPr>
            <w:tcW w:type="dxa" w:w="4536"/>
          </w:tcPr>
          <w:p>
            <w:r>
              <w:rPr>
                <w:b/>
                <w:sz w:val="19"/>
              </w:rPr>
              <w:t>Meaning</w:t>
            </w:r>
          </w:p>
        </w:tc>
      </w:tr>
      <w:tr>
        <w:tc>
          <w:tcPr>
            <w:tcW w:type="dxa" w:w="4536"/>
          </w:tcPr>
          <w:p>
            <w:r>
              <w:rPr>
                <w:sz w:val="19"/>
              </w:rPr>
              <w:t>Not Started</w:t>
            </w:r>
          </w:p>
        </w:tc>
        <w:tc>
          <w:tcPr>
            <w:tcW w:type="dxa" w:w="4536"/>
          </w:tcPr>
          <w:p>
            <w:r>
              <w:rPr>
                <w:sz w:val="19"/>
              </w:rPr>
              <w:t>The action has been recorded but work has not yet begun.</w:t>
            </w:r>
          </w:p>
        </w:tc>
      </w:tr>
      <w:tr>
        <w:tc>
          <w:tcPr>
            <w:tcW w:type="dxa" w:w="4536"/>
          </w:tcPr>
          <w:p>
            <w:r>
              <w:rPr>
                <w:sz w:val="19"/>
              </w:rPr>
              <w:t>In Progress</w:t>
            </w:r>
          </w:p>
        </w:tc>
        <w:tc>
          <w:tcPr>
            <w:tcW w:type="dxa" w:w="4536"/>
          </w:tcPr>
          <w:p>
            <w:r>
              <w:rPr>
                <w:sz w:val="19"/>
              </w:rPr>
              <w:t>Work is underway. Use the Notes column to record progress.</w:t>
            </w:r>
          </w:p>
        </w:tc>
      </w:tr>
      <w:tr>
        <w:tc>
          <w:tcPr>
            <w:tcW w:type="dxa" w:w="4536"/>
          </w:tcPr>
          <w:p>
            <w:r>
              <w:rPr>
                <w:sz w:val="19"/>
              </w:rPr>
              <w:t>On Hold</w:t>
            </w:r>
          </w:p>
        </w:tc>
        <w:tc>
          <w:tcPr>
            <w:tcW w:type="dxa" w:w="4536"/>
          </w:tcPr>
          <w:p>
            <w:r>
              <w:rPr>
                <w:sz w:val="19"/>
              </w:rPr>
              <w:t>The action is paused — for example, waiting on external input or a board decision. Record the reason in Notes.</w:t>
            </w:r>
          </w:p>
        </w:tc>
      </w:tr>
      <w:tr>
        <w:tc>
          <w:tcPr>
            <w:tcW w:type="dxa" w:w="4536"/>
          </w:tcPr>
          <w:p>
            <w:r>
              <w:rPr>
                <w:sz w:val="19"/>
              </w:rPr>
              <w:t>Complete</w:t>
            </w:r>
          </w:p>
        </w:tc>
        <w:tc>
          <w:tcPr>
            <w:tcW w:type="dxa" w:w="4536"/>
          </w:tcPr>
          <w:p>
            <w:r>
              <w:rPr>
                <w:sz w:val="19"/>
              </w:rPr>
              <w:t>The action has been finished. Record the completion date.</w:t>
            </w:r>
          </w:p>
        </w:tc>
      </w:tr>
      <w:tr>
        <w:tc>
          <w:tcPr>
            <w:tcW w:type="dxa" w:w="4536"/>
          </w:tcPr>
          <w:p>
            <w:r>
              <w:rPr>
                <w:sz w:val="19"/>
              </w:rPr>
              <w:t>Closed</w:t>
            </w:r>
          </w:p>
        </w:tc>
        <w:tc>
          <w:tcPr>
            <w:tcW w:type="dxa" w:w="4536"/>
          </w:tcPr>
          <w:p>
            <w:r>
              <w:rPr>
                <w:sz w:val="19"/>
              </w:rPr>
              <w:t>The board has acknowledged the completed action and it can be archived. This usually happens at the next meeting review.</w:t>
            </w:r>
          </w:p>
        </w:tc>
      </w:tr>
    </w:tbl>
    <w:p>
      <w:pPr>
        <w:spacing w:before="0" w:after="0"/>
      </w:pPr>
      <w:r>
        <w:rPr>
          <w:sz w:val="12"/>
        </w:rPr>
      </w:r>
    </w:p>
    <w:p>
      <w:pPr>
        <w:pStyle w:val="Heading3"/>
      </w:pPr>
      <w:r>
        <w:rPr>
          <w:color w:val="0D9488"/>
        </w:rPr>
        <w:t>Reviewing actions at meetings ("Matters Arising")</w:t>
      </w:r>
    </w:p>
    <w:p>
      <w:r>
        <w:t>Most boards review outstanding actions early in the meeting, usually as a standing agenda item called "Matters Arising" or "Review of Outstanding Actions". Here is a suggested approach:</w:t>
      </w:r>
    </w:p>
    <w:p>
      <w:pPr>
        <w:spacing w:before="40" w:after="40"/>
        <w:ind w:left="283"/>
      </w:pPr>
      <w:r>
        <w:rPr>
          <w:b/>
          <w:sz w:val="21"/>
        </w:rPr>
        <w:t xml:space="preserve">1. </w:t>
      </w:r>
      <w:r>
        <w:rPr>
          <w:sz w:val="21"/>
        </w:rPr>
        <w:t>The Chair (or Secretary) shares the current action register on screen or refers directors to the copy included in the board pack.</w:t>
      </w:r>
    </w:p>
    <w:p>
      <w:pPr>
        <w:spacing w:before="40" w:after="40"/>
        <w:ind w:left="283"/>
      </w:pPr>
      <w:r>
        <w:rPr>
          <w:b/>
          <w:sz w:val="21"/>
        </w:rPr>
        <w:t xml:space="preserve">2. </w:t>
      </w:r>
      <w:r>
        <w:rPr>
          <w:sz w:val="21"/>
        </w:rPr>
        <w:t>Work through open actions in order. The assigned person gives a brief update (30 seconds per item).</w:t>
      </w:r>
    </w:p>
    <w:p>
      <w:pPr>
        <w:spacing w:before="40" w:after="40"/>
        <w:ind w:left="283"/>
      </w:pPr>
      <w:r>
        <w:rPr>
          <w:b/>
          <w:sz w:val="21"/>
        </w:rPr>
        <w:t xml:space="preserve">3. </w:t>
      </w:r>
      <w:r>
        <w:rPr>
          <w:sz w:val="21"/>
        </w:rPr>
        <w:t>Update the Status and Notes columns in real time.</w:t>
      </w:r>
    </w:p>
    <w:p>
      <w:pPr>
        <w:spacing w:before="40" w:after="40"/>
        <w:ind w:left="283"/>
      </w:pPr>
      <w:r>
        <w:rPr>
          <w:b/>
          <w:sz w:val="21"/>
        </w:rPr>
        <w:t xml:space="preserve">4. </w:t>
      </w:r>
      <w:r>
        <w:rPr>
          <w:sz w:val="21"/>
        </w:rPr>
        <w:t>For overdue actions, discuss whether the deadline should be extended, the action reassigned, or the action escalated.</w:t>
      </w:r>
    </w:p>
    <w:p>
      <w:pPr>
        <w:spacing w:before="40" w:after="40"/>
        <w:ind w:left="283"/>
      </w:pPr>
      <w:r>
        <w:rPr>
          <w:b/>
          <w:sz w:val="21"/>
        </w:rPr>
        <w:t xml:space="preserve">5. </w:t>
      </w:r>
      <w:r>
        <w:rPr>
          <w:sz w:val="21"/>
        </w:rPr>
        <w:t>For completed actions, confirm with the board that the item can be marked Closed.</w:t>
      </w:r>
    </w:p>
    <w:p>
      <w:pPr>
        <w:spacing w:before="40" w:after="40"/>
        <w:ind w:left="283"/>
      </w:pPr>
      <w:r>
        <w:rPr>
          <w:b/>
          <w:sz w:val="21"/>
        </w:rPr>
        <w:t xml:space="preserve">6. </w:t>
      </w:r>
      <w:r>
        <w:rPr>
          <w:sz w:val="21"/>
        </w:rPr>
        <w:t>Do not allow Matters Arising to become a discussion forum for new topics. If a new issue surfaces, note it as a new action or add it to the agenda for the next meeting.</w:t>
      </w:r>
    </w:p>
    <w:p>
      <w:pPr>
        <w:spacing w:before="0" w:after="0"/>
      </w:pPr>
      <w:r>
        <w:rPr>
          <w:sz w:val="12"/>
        </w:rPr>
      </w:r>
    </w:p>
    <w:p>
      <w:pPr>
        <w:pStyle w:val="Heading3"/>
      </w:pPr>
      <w:r>
        <w:rPr>
          <w:color w:val="0D9488"/>
        </w:rPr>
        <w:t>Australian governance context</w:t>
      </w:r>
    </w:p>
    <w:p>
      <w:r>
        <w:t>Maintaining an action register is not just good practice — it supports compliance with governance obligations that apply to Australian boards:</w:t>
      </w:r>
    </w:p>
    <w:p>
      <w:pPr>
        <w:pStyle w:val="ListBullet"/>
        <w:ind w:left="567"/>
      </w:pPr>
      <w:r>
        <w:rPr>
          <w:sz w:val="21"/>
        </w:rPr>
        <w:t>ACNC Governance Standard 2 requires registered charities to be accountable to members and demonstrate that the board takes reasonable steps to ensure the charity operates in accordance with its purposes. An action register provides evidence that the board follows through on its decisions.</w:t>
      </w:r>
    </w:p>
    <w:p>
      <w:pPr>
        <w:pStyle w:val="ListBullet"/>
        <w:ind w:left="567"/>
      </w:pPr>
      <w:r>
        <w:rPr>
          <w:sz w:val="21"/>
        </w:rPr>
        <w:t>The AICD's NFP Governance Principles (2024) recommend that boards adopt structured processes to track decisions and actions between meetings, ensuring accountability and continuity.</w:t>
      </w:r>
    </w:p>
    <w:p>
      <w:pPr>
        <w:pStyle w:val="ListBullet"/>
        <w:ind w:left="567"/>
      </w:pPr>
      <w:r>
        <w:rPr>
          <w:sz w:val="21"/>
        </w:rPr>
        <w:t>Under the Corporations Act 2001, directors of companies limited by guarantee must exercise their powers and discharge their duties with care and diligence (s 180). An action register supports this by ensuring board decisions are implemented, not just minuted.</w:t>
      </w:r>
    </w:p>
    <w:p>
      <w:pPr>
        <w:pStyle w:val="ListBullet"/>
        <w:ind w:left="567"/>
      </w:pPr>
      <w:r>
        <w:rPr>
          <w:sz w:val="21"/>
        </w:rPr>
        <w:t>State incorporated associations legislation typically requires that associations keep records of board decisions. The action register complements formal minutes by tracking the execution of those decisions.</w:t>
      </w:r>
    </w:p>
    <w:p>
      <w:pPr>
        <w:spacing w:before="0" w:after="0"/>
      </w:pPr>
      <w:r>
        <w:rPr>
          <w:sz w:val="12"/>
        </w:rPr>
      </w:r>
    </w:p>
    <w:p>
      <w:pPr>
        <w:spacing w:before="80" w:after="80"/>
      </w:pPr>
      <w:r>
        <w:rPr>
          <w:color w:val="CCCCCC"/>
          <w:sz w:val="16"/>
        </w:rPr>
        <w:t>──────────────────────────────────────────────────────────────────────────────────────────</w:t>
      </w:r>
    </w:p>
    <w:p>
      <w:pPr>
        <w:spacing w:before="0" w:after="0"/>
      </w:pPr>
      <w:r>
        <w:rPr>
          <w:sz w:val="12"/>
        </w:rPr>
      </w:r>
    </w:p>
    <w:p>
      <w:pPr>
        <w:jc w:val="center"/>
      </w:pPr>
      <w:r>
        <w:rPr>
          <w:b/>
          <w:color w:val="0D9488"/>
          <w:sz w:val="26"/>
        </w:rPr>
        <w:t>Stop tracking board actions in a Word document.</w:t>
      </w:r>
    </w:p>
    <w:p>
      <w:pPr>
        <w:jc w:val="center"/>
      </w:pPr>
      <w:r>
        <w:rPr>
          <w:color w:val="555555"/>
          <w:sz w:val="22"/>
        </w:rPr>
        <w:t>Our Cat Herder is an Australian board portal with a built-in action register. Capture action items during meetings, assign owners and due dates, and carry forward outstanding actions automatically. Every action links back to the meeting and agenda item where it was raised.</w:t>
      </w:r>
    </w:p>
    <w:p>
      <w:pPr>
        <w:spacing w:before="160"/>
        <w:jc w:val="center"/>
      </w:pPr>
      <w:r>
        <w:rPr>
          <w:b/>
          <w:color w:val="0D9488"/>
          <w:sz w:val="24"/>
        </w:rPr>
        <w:t>Start a free 45-day trial at ourcatherder.com</w:t>
      </w:r>
    </w:p>
    <w:p>
      <w:pPr>
        <w:jc w:val="center"/>
      </w:pPr>
      <w:r>
        <w:rPr>
          <w:color w:val="0D9488"/>
          <w:sz w:val="20"/>
        </w:rPr>
        <w:t>www.ourcatherder.com/features/board-meeting-action-items</w:t>
      </w:r>
    </w:p>
    <w:sectPr w:rsidR="00FC693F" w:rsidRPr="0006063C" w:rsidSect="00034616">
      <w:pgSz w:w="11906" w:h="16838"/>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20" w:line="276" w:lineRule="auto"/>
    </w:pPr>
    <w:rPr>
      <w:rFonts w:ascii="Calibri" w:hAnsi="Calibri"/>
      <w:color w:val="333333"/>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