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Calibri" w:hAnsi="Calibri"/>
          <w:b/>
          <w:sz w:val="28"/>
        </w:rPr>
        <w:t>[Organisation Name]</w:t>
      </w:r>
    </w:p>
    <w:p>
      <w:pPr>
        <w:spacing w:before="40" w:after="160"/>
        <w:jc w:val="center"/>
      </w:pPr>
      <w:r>
        <w:rPr>
          <w:rFonts w:ascii="Calibri" w:hAnsi="Calibri"/>
          <w:b/>
          <w:color w:val="0D9488"/>
          <w:sz w:val="40"/>
        </w:rPr>
        <w:t>CONFLICT OF INTEREST REGISTER</w:t>
      </w:r>
    </w:p>
    <w:p>
      <w:pPr>
        <w:spacing w:before="0" w:after="160"/>
        <w:jc w:val="left"/>
      </w:pPr>
      <w:r>
        <w:rPr>
          <w:rFonts w:ascii="Calibri" w:hAnsi="Calibri"/>
          <w:i/>
          <w:color w:val="4B5563"/>
          <w:sz w:val="20"/>
        </w:rPr>
        <w:t>This register records interests declared by directors, committee members, and senior staff. Review it at the start of each meeting, and update it when an interest changes. Delete the three example rows before use.</w:t>
      </w:r>
    </w:p>
    <w:tbl>
      <w:tblPr>
        <w:tblW w:type="dxa" w:w="15136"/>
        <w:jc w:val="center"/>
        <w:tblLayout w:type="fixed"/>
        <w:tblLook w:firstColumn="1" w:firstRow="1" w:lastColumn="0" w:lastRow="0" w:noHBand="0" w:noVBand="1" w:val="04A0"/>
      </w:tblPr>
      <w:tblGrid>
        <w:gridCol w:w="1300"/>
        <w:gridCol w:w="1650"/>
        <w:gridCol w:w="1100"/>
        <w:gridCol w:w="3000"/>
        <w:gridCol w:w="1750"/>
        <w:gridCol w:w="1300"/>
        <w:gridCol w:w="2800"/>
        <w:gridCol w:w="1236"/>
        <w:gridCol w:w="1000"/>
      </w:tblGrid>
      <w:tr>
        <w:tc>
          <w:tcPr>
            <w:tcW w:type="dxa" w:w="130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Date Declared</w:t>
            </w:r>
          </w:p>
        </w:tc>
        <w:tc>
          <w:tcPr>
            <w:tcW w:type="dxa" w:w="165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Declared By</w:t>
            </w:r>
          </w:p>
        </w:tc>
        <w:tc>
          <w:tcPr>
            <w:tcW w:type="dxa" w:w="110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Type</w:t>
            </w:r>
          </w:p>
        </w:tc>
        <w:tc>
          <w:tcPr>
            <w:tcW w:type="dxa" w:w="300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Nature of Interest</w:t>
            </w:r>
          </w:p>
        </w:tc>
        <w:tc>
          <w:tcPr>
            <w:tcW w:type="dxa" w:w="175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Related Party</w:t>
            </w:r>
          </w:p>
        </w:tc>
        <w:tc>
          <w:tcPr>
            <w:tcW w:type="dxa" w:w="130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Relationship Type</w:t>
            </w:r>
          </w:p>
        </w:tc>
        <w:tc>
          <w:tcPr>
            <w:tcW w:type="dxa" w:w="280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Management Action</w:t>
            </w:r>
          </w:p>
        </w:tc>
        <w:tc>
          <w:tcPr>
            <w:tcW w:type="dxa" w:w="1236"/>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Review Date</w:t>
            </w:r>
          </w:p>
        </w:tc>
        <w:tc>
          <w:tcPr>
            <w:tcW w:type="dxa" w:w="1000"/>
            <w:shd w:val="clear" w:color="auto" w:fill="0D9488"/>
            <w:tcBorders>
              <w:top w:val="single" w:sz="4" w:space="0" w:color="0D9488"/>
              <w:left w:val="single" w:sz="4" w:space="0" w:color="0D9488"/>
              <w:bottom w:val="single" w:sz="4" w:space="0" w:color="0D9488"/>
              <w:right w:val="single" w:sz="4" w:space="0" w:color="0D9488"/>
            </w:tcBorders>
            <w:vAlign w:val="center"/>
            <w:tcMar>
              <w:top w:w="40" w:type="dxa"/>
              <w:left w:w="60" w:type="dxa"/>
              <w:bottom w:w="40" w:type="dxa"/>
              <w:right w:w="60" w:type="dxa"/>
            </w:tcMar>
          </w:tcPr>
          <w:p>
            <w:pPr>
              <w:spacing w:before="0" w:after="0" w:line="240" w:lineRule="auto"/>
              <w:jc w:val="center"/>
            </w:pPr>
            <w:r/>
            <w:r>
              <w:rPr>
                <w:rFonts w:ascii="Calibri" w:hAnsi="Calibri"/>
                <w:b/>
                <w:color w:val="FFFFFF"/>
                <w:sz w:val="16"/>
              </w:rPr>
              <w:t>Status</w:t>
            </w:r>
          </w:p>
        </w:tc>
      </w:tr>
      <w:tr>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12 Mar 2026</w:t>
            </w:r>
          </w:p>
        </w:tc>
        <w:tc>
          <w:tcPr>
            <w:tcW w:type="dxa" w:w="16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Priya Nair (Director)</w:t>
            </w:r>
          </w:p>
        </w:tc>
        <w:tc>
          <w:tcPr>
            <w:tcW w:type="dxa" w:w="11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Actual</w:t>
            </w:r>
          </w:p>
        </w:tc>
        <w:tc>
          <w:tcPr>
            <w:tcW w:type="dxa" w:w="3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left"/>
            </w:pPr>
            <w:r/>
            <w:r>
              <w:rPr>
                <w:rFonts w:ascii="Calibri" w:hAnsi="Calibri"/>
                <w:b w:val="0"/>
                <w:sz w:val="16"/>
              </w:rPr>
              <w:t>Director of a company shortlisted for the facilities contract</w:t>
            </w:r>
          </w:p>
        </w:tc>
        <w:tc>
          <w:tcPr>
            <w:tcW w:type="dxa" w:w="17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Harbour Facilities Pty Ltd</w:t>
            </w:r>
          </w:p>
        </w:tc>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Business</w:t>
            </w:r>
          </w:p>
        </w:tc>
        <w:tc>
          <w:tcPr>
            <w:tcW w:type="dxa" w:w="28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left"/>
            </w:pPr>
            <w:r/>
            <w:r>
              <w:rPr>
                <w:rFonts w:ascii="Calibri" w:hAnsi="Calibri"/>
                <w:b w:val="0"/>
                <w:sz w:val="16"/>
              </w:rPr>
              <w:t>Left the room and did not vote. Noted in the minutes.</w:t>
            </w:r>
          </w:p>
        </w:tc>
        <w:tc>
          <w:tcPr>
            <w:tcW w:type="dxa" w:w="1236"/>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12 Mar 2027</w:t>
            </w:r>
          </w:p>
        </w:tc>
        <w:tc>
          <w:tcPr>
            <w:tcW w:type="dxa" w:w="1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Open</w:t>
            </w:r>
          </w:p>
        </w:tc>
      </w:tr>
      <w:tr>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4 Feb 2026</w:t>
            </w:r>
          </w:p>
        </w:tc>
        <w:tc>
          <w:tcPr>
            <w:tcW w:type="dxa" w:w="16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James Okonkwo (Director)</w:t>
            </w:r>
          </w:p>
        </w:tc>
        <w:tc>
          <w:tcPr>
            <w:tcW w:type="dxa" w:w="11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Perceived</w:t>
            </w:r>
          </w:p>
        </w:tc>
        <w:tc>
          <w:tcPr>
            <w:tcW w:type="dxa" w:w="3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left"/>
            </w:pPr>
            <w:r/>
            <w:r>
              <w:rPr>
                <w:rFonts w:ascii="Calibri" w:hAnsi="Calibri"/>
                <w:b w:val="0"/>
                <w:sz w:val="16"/>
              </w:rPr>
              <w:t>Spouse works at the firm proposed as external auditor</w:t>
            </w:r>
          </w:p>
        </w:tc>
        <w:tc>
          <w:tcPr>
            <w:tcW w:type="dxa" w:w="17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Clearwater Audit</w:t>
            </w:r>
          </w:p>
        </w:tc>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Family</w:t>
            </w:r>
          </w:p>
        </w:tc>
        <w:tc>
          <w:tcPr>
            <w:tcW w:type="dxa" w:w="28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left"/>
            </w:pPr>
            <w:r/>
            <w:r>
              <w:rPr>
                <w:rFonts w:ascii="Calibri" w:hAnsi="Calibri"/>
                <w:b w:val="0"/>
                <w:sz w:val="16"/>
              </w:rPr>
              <w:t>Recused from the auditor appointment and the fee discussion.</w:t>
            </w:r>
          </w:p>
        </w:tc>
        <w:tc>
          <w:tcPr>
            <w:tcW w:type="dxa" w:w="1236"/>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4 Feb 2027</w:t>
            </w:r>
          </w:p>
        </w:tc>
        <w:tc>
          <w:tcPr>
            <w:tcW w:type="dxa" w:w="1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Standing</w:t>
            </w:r>
          </w:p>
        </w:tc>
      </w:tr>
      <w:tr>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18 Nov 2025</w:t>
            </w:r>
          </w:p>
        </w:tc>
        <w:tc>
          <w:tcPr>
            <w:tcW w:type="dxa" w:w="16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Helen Chen (Director)</w:t>
            </w:r>
          </w:p>
        </w:tc>
        <w:tc>
          <w:tcPr>
            <w:tcW w:type="dxa" w:w="11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Potential</w:t>
            </w:r>
          </w:p>
        </w:tc>
        <w:tc>
          <w:tcPr>
            <w:tcW w:type="dxa" w:w="3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left"/>
            </w:pPr>
            <w:r/>
            <w:r>
              <w:rPr>
                <w:rFonts w:ascii="Calibri" w:hAnsi="Calibri"/>
                <w:b w:val="0"/>
                <w:sz w:val="16"/>
              </w:rPr>
              <w:t>Also sits on the board of a charity considered for a joint program</w:t>
            </w:r>
          </w:p>
        </w:tc>
        <w:tc>
          <w:tcPr>
            <w:tcW w:type="dxa" w:w="17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Northside Community Health</w:t>
            </w:r>
          </w:p>
        </w:tc>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Business</w:t>
            </w:r>
          </w:p>
        </w:tc>
        <w:tc>
          <w:tcPr>
            <w:tcW w:type="dxa" w:w="28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left"/>
            </w:pPr>
            <w:r/>
            <w:r>
              <w:rPr>
                <w:rFonts w:ascii="Calibri" w:hAnsi="Calibri"/>
                <w:b w:val="0"/>
                <w:sz w:val="16"/>
              </w:rPr>
              <w:t>Disclosed before the paper and did not vote. Partnership did not proceed.</w:t>
            </w:r>
          </w:p>
        </w:tc>
        <w:tc>
          <w:tcPr>
            <w:tcW w:type="dxa" w:w="1236"/>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w:t>
            </w:r>
          </w:p>
        </w:tc>
        <w:tc>
          <w:tcPr>
            <w:tcW w:type="dxa" w:w="1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0" w:after="0" w:line="240" w:lineRule="auto"/>
              <w:jc w:val="center"/>
            </w:pPr>
            <w:r/>
            <w:r>
              <w:rPr>
                <w:rFonts w:ascii="Calibri" w:hAnsi="Calibri"/>
                <w:b w:val="0"/>
                <w:sz w:val="16"/>
              </w:rPr>
              <w:t>Closed</w:t>
            </w:r>
          </w:p>
        </w:tc>
      </w:tr>
      <w:tr>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6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1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3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7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28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236"/>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r>
      <w:tr>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6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1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3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7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28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236"/>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r>
      <w:tr>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6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1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3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7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28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236"/>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r>
      <w:tr>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6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1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3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7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28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236"/>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r>
      <w:tr>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6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1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3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75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3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28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236"/>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000"/>
            <w:shd w:val="clear" w:color="auto" w:fill="F9FAFB"/>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r>
      <w:tr>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6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1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3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75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3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28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236"/>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c>
          <w:tcPr>
            <w:tcW w:type="dxa" w:w="1000"/>
            <w:shd w:val="clear" w:color="auto" w:fill="FFFFFF"/>
            <w:tcBorders>
              <w:top w:val="single" w:sz="4" w:space="0" w:color="E5E7EB"/>
              <w:left w:val="single" w:sz="4" w:space="0" w:color="E5E7EB"/>
              <w:bottom w:val="single" w:sz="4" w:space="0" w:color="E5E7EB"/>
              <w:right w:val="single" w:sz="4" w:space="0" w:color="E5E7EB"/>
            </w:tcBorders>
            <w:vAlign w:val="center"/>
            <w:tcMar>
              <w:top w:w="40" w:type="dxa"/>
              <w:left w:w="60" w:type="dxa"/>
              <w:bottom w:w="40" w:type="dxa"/>
              <w:right w:w="60" w:type="dxa"/>
            </w:tcMar>
          </w:tcPr>
          <w:p>
            <w:pPr>
              <w:spacing w:before="120" w:after="120" w:line="240" w:lineRule="auto"/>
              <w:jc w:val="center"/>
            </w:pPr>
            <w:r/>
            <w:r>
              <w:rPr>
                <w:rFonts w:ascii="Calibri" w:hAnsi="Calibri"/>
                <w:b w:val="0"/>
                <w:sz w:val="16"/>
              </w:rPr>
            </w:r>
          </w:p>
        </w:tc>
      </w:tr>
    </w:tbl>
    <w:p>
      <w:pPr>
        <w:spacing w:before="160" w:after="0"/>
      </w:pPr>
      <w:r>
        <w:rPr>
          <w:rFonts w:ascii="Calibri" w:hAnsi="Calibri"/>
          <w:b/>
          <w:i/>
          <w:color w:val="4B5563"/>
          <w:sz w:val="18"/>
        </w:rPr>
        <w:t xml:space="preserve">Tip: </w:t>
      </w:r>
      <w:r>
        <w:rPr>
          <w:rFonts w:ascii="Calibri" w:hAnsi="Calibri"/>
          <w:i/>
          <w:color w:val="4B5563"/>
          <w:sz w:val="18"/>
        </w:rPr>
        <w:t>One row per interest. If a person has two interests, use two rows. Keep closed rows, or move them to a separate sheet. Do not delete the history.</w:t>
      </w:r>
    </w:p>
    <w:p>
      <w:pPr>
        <w:sectPr>
          <w:pgSz w:w="16838" w:h="11906" w:orient="landscape"/>
          <w:pgMar w:top="794" w:right="851" w:bottom="794" w:left="851" w:header="720" w:footer="720" w:gutter="0"/>
          <w:cols w:space="720"/>
          <w:docGrid w:linePitch="360"/>
        </w:sectPr>
      </w:pPr>
    </w:p>
    <w:p>
      <w:pPr>
        <w:spacing w:before="320" w:after="120"/>
      </w:pPr>
      <w:r>
        <w:rPr>
          <w:rFonts w:ascii="Calibri" w:hAnsi="Calibri"/>
          <w:b/>
          <w:color w:val="0D9488"/>
          <w:sz w:val="36"/>
        </w:rPr>
        <w:t>Guidance notes: using a conflict of interest register</w:t>
      </w:r>
    </w:p>
    <w:p>
      <w:pPr>
        <w:spacing w:before="320" w:after="120"/>
      </w:pPr>
      <w:r>
        <w:rPr>
          <w:rFonts w:ascii="Calibri" w:hAnsi="Calibri"/>
          <w:b/>
          <w:color w:val="0D9488"/>
          <w:sz w:val="28"/>
        </w:rPr>
        <w:t>How to use this register</w:t>
      </w:r>
    </w:p>
    <w:p>
      <w:pPr>
        <w:spacing w:before="0" w:after="160" w:line="259" w:lineRule="auto"/>
      </w:pPr>
      <w:r>
        <w:rPr>
          <w:rFonts w:ascii="Calibri" w:hAnsi="Calibri"/>
          <w:i w:val="0"/>
          <w:color w:val="1F2937"/>
          <w:sz w:val="22"/>
        </w:rPr>
        <w:t>The register is the written record of interests that could affect, or be seen to affect, someone's decisions for the organisation. The policy says when people declare. This document records that they did, and what the board decided to do.</w:t>
      </w:r>
    </w:p>
    <w:p>
      <w:pPr>
        <w:spacing w:before="40" w:after="40" w:line="259" w:lineRule="auto"/>
        <w:ind w:left="283"/>
      </w:pPr>
      <w:r>
        <w:rPr>
          <w:rFonts w:ascii="Calibri" w:hAnsi="Calibri"/>
          <w:b/>
          <w:sz w:val="22"/>
        </w:rPr>
        <w:t xml:space="preserve">1. </w:t>
      </w:r>
      <w:r>
        <w:rPr>
          <w:rFonts w:ascii="Calibri" w:hAnsi="Calibri"/>
          <w:sz w:val="22"/>
        </w:rPr>
        <w:t>On appointment, and at least once a year, each director and relevant staff member completes a declaration. Record standing interests even when no decision is in front of the board.</w:t>
      </w:r>
    </w:p>
    <w:p>
      <w:pPr>
        <w:spacing w:before="40" w:after="40" w:line="259" w:lineRule="auto"/>
        <w:ind w:left="283"/>
      </w:pPr>
      <w:r>
        <w:rPr>
          <w:rFonts w:ascii="Calibri" w:hAnsi="Calibri"/>
          <w:b/>
          <w:sz w:val="22"/>
        </w:rPr>
        <w:t xml:space="preserve">2. </w:t>
      </w:r>
      <w:r>
        <w:rPr>
          <w:rFonts w:ascii="Calibri" w:hAnsi="Calibri"/>
          <w:sz w:val="22"/>
        </w:rPr>
        <w:t>Ask for new or changed interests before each meeting, and again when the board reaches an item someone may have an interest in.</w:t>
      </w:r>
    </w:p>
    <w:p>
      <w:pPr>
        <w:spacing w:before="40" w:after="40" w:line="259" w:lineRule="auto"/>
        <w:ind w:left="283"/>
      </w:pPr>
      <w:r>
        <w:rPr>
          <w:rFonts w:ascii="Calibri" w:hAnsi="Calibri"/>
          <w:b/>
          <w:sz w:val="22"/>
        </w:rPr>
        <w:t xml:space="preserve">3. </w:t>
      </w:r>
      <w:r>
        <w:rPr>
          <w:rFonts w:ascii="Calibri" w:hAnsi="Calibri"/>
          <w:sz w:val="22"/>
        </w:rPr>
        <w:t>Record the interest, the type, the related party, and the management action the board agreed. Put that same management action in the minutes.</w:t>
      </w:r>
    </w:p>
    <w:p>
      <w:pPr>
        <w:spacing w:before="40" w:after="40" w:line="259" w:lineRule="auto"/>
        <w:ind w:left="283"/>
      </w:pPr>
      <w:r>
        <w:rPr>
          <w:rFonts w:ascii="Calibri" w:hAnsi="Calibri"/>
          <w:b/>
          <w:sz w:val="22"/>
        </w:rPr>
        <w:t xml:space="preserve">4. </w:t>
      </w:r>
      <w:r>
        <w:rPr>
          <w:rFonts w:ascii="Calibri" w:hAnsi="Calibri"/>
          <w:sz w:val="22"/>
        </w:rPr>
        <w:t>Set a review date. Confirm standing interests at least annually. An interest tied to a single decision can be closed once that decision is finished and minuted.</w:t>
      </w:r>
    </w:p>
    <w:p>
      <w:pPr>
        <w:spacing w:before="40" w:after="40" w:line="259" w:lineRule="auto"/>
        <w:ind w:left="283"/>
      </w:pPr>
      <w:r>
        <w:rPr>
          <w:rFonts w:ascii="Calibri" w:hAnsi="Calibri"/>
          <w:b/>
          <w:sz w:val="22"/>
        </w:rPr>
        <w:t xml:space="preserve">5. </w:t>
      </w:r>
      <w:r>
        <w:rPr>
          <w:rFonts w:ascii="Calibri" w:hAnsi="Calibri"/>
          <w:sz w:val="22"/>
        </w:rPr>
        <w:t>Keep closed rows. A register that only shows current interests cannot show what the board knew when it made an earlier decision.</w:t>
      </w:r>
    </w:p>
    <w:p>
      <w:pPr>
        <w:spacing w:before="320" w:after="120"/>
      </w:pPr>
      <w:r>
        <w:rPr>
          <w:rFonts w:ascii="Calibri" w:hAnsi="Calibri"/>
          <w:b/>
          <w:color w:val="0D9488"/>
          <w:sz w:val="28"/>
        </w:rPr>
        <w:t>What to record</w:t>
      </w:r>
    </w:p>
    <w:p>
      <w:pPr>
        <w:spacing w:before="40" w:after="40" w:line="259" w:lineRule="auto"/>
        <w:ind w:left="283"/>
      </w:pPr>
      <w:r>
        <w:rPr>
          <w:rFonts w:ascii="Calibri" w:hAnsi="Calibri"/>
          <w:b/>
          <w:sz w:val="22"/>
        </w:rPr>
        <w:t xml:space="preserve">The person and their role. </w:t>
      </w:r>
      <w:r>
        <w:rPr>
          <w:rFonts w:ascii="Calibri" w:hAnsi="Calibri"/>
          <w:sz w:val="22"/>
        </w:rPr>
        <w:t>One row per interest.</w:t>
      </w:r>
    </w:p>
    <w:p>
      <w:pPr>
        <w:spacing w:before="40" w:after="40" w:line="259" w:lineRule="auto"/>
        <w:ind w:left="283"/>
      </w:pPr>
      <w:r>
        <w:rPr>
          <w:rFonts w:ascii="Calibri" w:hAnsi="Calibri"/>
          <w:b/>
          <w:sz w:val="22"/>
        </w:rPr>
        <w:t xml:space="preserve">The type. </w:t>
      </w:r>
      <w:r>
        <w:rPr>
          <w:rFonts w:ascii="Calibri" w:hAnsi="Calibri"/>
          <w:sz w:val="22"/>
        </w:rPr>
        <w:t>Actual, potential, or perceived. An indirect interest, through family or a close associate, is still recorded. Use Relationship Type to show how it arises.</w:t>
      </w:r>
    </w:p>
    <w:p>
      <w:pPr>
        <w:spacing w:before="40" w:after="40" w:line="259" w:lineRule="auto"/>
        <w:ind w:left="283"/>
      </w:pPr>
      <w:r>
        <w:rPr>
          <w:rFonts w:ascii="Calibri" w:hAnsi="Calibri"/>
          <w:b/>
          <w:sz w:val="22"/>
        </w:rPr>
        <w:t xml:space="preserve">The nature of the interest, in plain language. </w:t>
      </w:r>
      <w:r>
        <w:rPr>
          <w:rFonts w:ascii="Calibri" w:hAnsi="Calibri"/>
          <w:sz w:val="22"/>
        </w:rPr>
        <w:t>Write "Director of a supplier shortlisted for the facilities contract", not "Business interest".</w:t>
      </w:r>
    </w:p>
    <w:p>
      <w:pPr>
        <w:spacing w:before="40" w:after="40" w:line="259" w:lineRule="auto"/>
        <w:ind w:left="283"/>
      </w:pPr>
      <w:r>
        <w:rPr>
          <w:rFonts w:ascii="Calibri" w:hAnsi="Calibri"/>
          <w:b/>
          <w:sz w:val="22"/>
        </w:rPr>
        <w:t xml:space="preserve">The related party. </w:t>
      </w:r>
      <w:r>
        <w:rPr>
          <w:rFonts w:ascii="Calibri" w:hAnsi="Calibri"/>
          <w:sz w:val="22"/>
        </w:rPr>
        <w:t>The person or organisation the interest involves.</w:t>
      </w:r>
    </w:p>
    <w:p>
      <w:pPr>
        <w:spacing w:before="40" w:after="40" w:line="259" w:lineRule="auto"/>
        <w:ind w:left="283"/>
      </w:pPr>
      <w:r>
        <w:rPr>
          <w:rFonts w:ascii="Calibri" w:hAnsi="Calibri"/>
          <w:b/>
          <w:sz w:val="22"/>
        </w:rPr>
        <w:t xml:space="preserve">The management action. </w:t>
      </w:r>
      <w:r>
        <w:rPr>
          <w:rFonts w:ascii="Calibri" w:hAnsi="Calibri"/>
          <w:sz w:val="22"/>
        </w:rPr>
        <w:t>What the board decided: disclose only, stay for the discussion but not vote, leave the room, or restrict the papers. If the board allowed the person to participate, record why.</w:t>
      </w:r>
    </w:p>
    <w:p>
      <w:pPr>
        <w:spacing w:before="40" w:after="40" w:line="259" w:lineRule="auto"/>
        <w:ind w:left="283"/>
      </w:pPr>
      <w:r>
        <w:rPr>
          <w:rFonts w:ascii="Calibri" w:hAnsi="Calibri"/>
          <w:b/>
          <w:sz w:val="22"/>
        </w:rPr>
        <w:t xml:space="preserve">A review date. </w:t>
      </w:r>
      <w:r>
        <w:rPr>
          <w:rFonts w:ascii="Calibri" w:hAnsi="Calibri"/>
          <w:sz w:val="22"/>
        </w:rPr>
        <w:t>Set one so a standing interest is not forgotten after the meeting.</w:t>
      </w:r>
    </w:p>
    <w:p>
      <w:pPr>
        <w:spacing w:before="320" w:after="120"/>
      </w:pPr>
      <w:r>
        <w:rPr>
          <w:rFonts w:ascii="Calibri" w:hAnsi="Calibri"/>
          <w:b/>
          <w:color w:val="0D9488"/>
          <w:sz w:val="28"/>
        </w:rPr>
        <w:t>Suggested values</w:t>
      </w:r>
    </w:p>
    <w:p>
      <w:pPr>
        <w:spacing w:before="0" w:after="40" w:line="259" w:lineRule="auto"/>
      </w:pPr>
      <w:r>
        <w:rPr>
          <w:rFonts w:ascii="Calibri" w:hAnsi="Calibri"/>
          <w:i w:val="0"/>
          <w:color w:val="1F2937"/>
          <w:sz w:val="24"/>
        </w:rPr>
        <w:t>Type</w:t>
      </w:r>
    </w:p>
    <w:p>
      <w:pPr>
        <w:spacing w:before="40" w:after="40" w:line="259" w:lineRule="auto"/>
        <w:ind w:left="283"/>
      </w:pPr>
      <w:r>
        <w:rPr>
          <w:rFonts w:ascii="Calibri" w:hAnsi="Calibri"/>
          <w:b/>
          <w:sz w:val="22"/>
        </w:rPr>
        <w:t xml:space="preserve">Actual. </w:t>
      </w:r>
      <w:r>
        <w:rPr>
          <w:rFonts w:ascii="Calibri" w:hAnsi="Calibri"/>
          <w:sz w:val="22"/>
        </w:rPr>
        <w:t>The interest is already in conflict with a duty to the organisation.</w:t>
      </w:r>
    </w:p>
    <w:p>
      <w:pPr>
        <w:spacing w:before="40" w:after="40" w:line="259" w:lineRule="auto"/>
        <w:ind w:left="283"/>
      </w:pPr>
      <w:r>
        <w:rPr>
          <w:rFonts w:ascii="Calibri" w:hAnsi="Calibri"/>
          <w:b/>
          <w:sz w:val="22"/>
        </w:rPr>
        <w:t xml:space="preserve">Potential. </w:t>
      </w:r>
      <w:r>
        <w:rPr>
          <w:rFonts w:ascii="Calibri" w:hAnsi="Calibri"/>
          <w:sz w:val="22"/>
        </w:rPr>
        <w:t>The interest could conflict if a particular decision or situation arises.</w:t>
      </w:r>
    </w:p>
    <w:p>
      <w:pPr>
        <w:spacing w:before="40" w:after="40" w:line="259" w:lineRule="auto"/>
        <w:ind w:left="283"/>
      </w:pPr>
      <w:r>
        <w:rPr>
          <w:rFonts w:ascii="Calibri" w:hAnsi="Calibri"/>
          <w:b/>
          <w:sz w:val="22"/>
        </w:rPr>
        <w:t xml:space="preserve">Perceived. </w:t>
      </w:r>
      <w:r>
        <w:rPr>
          <w:rFonts w:ascii="Calibri" w:hAnsi="Calibri"/>
          <w:sz w:val="22"/>
        </w:rPr>
        <w:t>A reasonable observer could think the interest might influence the person, even if it does not.</w:t>
      </w:r>
    </w:p>
    <w:p>
      <w:pPr>
        <w:spacing w:before="0" w:after="40" w:line="259" w:lineRule="auto"/>
      </w:pPr>
      <w:r>
        <w:rPr>
          <w:rFonts w:ascii="Calibri" w:hAnsi="Calibri"/>
          <w:i w:val="0"/>
          <w:color w:val="1F2937"/>
          <w:sz w:val="24"/>
        </w:rPr>
        <w:t>Relationship type</w:t>
      </w:r>
    </w:p>
    <w:p>
      <w:pPr>
        <w:spacing w:before="0" w:after="160" w:line="259" w:lineRule="auto"/>
      </w:pPr>
      <w:r>
        <w:rPr>
          <w:rFonts w:ascii="Calibri" w:hAnsi="Calibri"/>
          <w:i w:val="0"/>
          <w:color w:val="1F2937"/>
          <w:sz w:val="22"/>
        </w:rPr>
        <w:t>Business, Family, Financial, Personal, Membership, or Other. Use the value that best describes how the person is connected to the related party.</w:t>
      </w:r>
    </w:p>
    <w:p>
      <w:pPr>
        <w:spacing w:before="0" w:after="40" w:line="259" w:lineRule="auto"/>
      </w:pPr>
      <w:r>
        <w:rPr>
          <w:rFonts w:ascii="Calibri" w:hAnsi="Calibri"/>
          <w:i w:val="0"/>
          <w:color w:val="1F2937"/>
          <w:sz w:val="24"/>
        </w:rPr>
        <w:t>Status</w:t>
      </w:r>
    </w:p>
    <w:p>
      <w:pPr>
        <w:spacing w:before="40" w:after="40" w:line="259" w:lineRule="auto"/>
        <w:ind w:left="283"/>
      </w:pPr>
      <w:r>
        <w:rPr>
          <w:rFonts w:ascii="Calibri" w:hAnsi="Calibri"/>
          <w:b/>
          <w:sz w:val="22"/>
        </w:rPr>
        <w:t xml:space="preserve">Open. </w:t>
      </w:r>
      <w:r>
        <w:rPr>
          <w:rFonts w:ascii="Calibri" w:hAnsi="Calibri"/>
          <w:sz w:val="22"/>
        </w:rPr>
        <w:t>The interest is current and still being managed.</w:t>
      </w:r>
    </w:p>
    <w:p>
      <w:pPr>
        <w:spacing w:before="40" w:after="40" w:line="259" w:lineRule="auto"/>
        <w:ind w:left="283"/>
      </w:pPr>
      <w:r>
        <w:rPr>
          <w:rFonts w:ascii="Calibri" w:hAnsi="Calibri"/>
          <w:b/>
          <w:sz w:val="22"/>
        </w:rPr>
        <w:t xml:space="preserve">Standing. </w:t>
      </w:r>
      <w:r>
        <w:rPr>
          <w:rFonts w:ascii="Calibri" w:hAnsi="Calibri"/>
          <w:sz w:val="22"/>
        </w:rPr>
        <w:t>An ongoing interest, recorded as a standing notice and reviewed on the review date.</w:t>
      </w:r>
    </w:p>
    <w:p>
      <w:pPr>
        <w:spacing w:before="40" w:after="40" w:line="259" w:lineRule="auto"/>
        <w:ind w:left="283"/>
      </w:pPr>
      <w:r>
        <w:rPr>
          <w:rFonts w:ascii="Calibri" w:hAnsi="Calibri"/>
          <w:b/>
          <w:sz w:val="22"/>
        </w:rPr>
        <w:t xml:space="preserve">Closed. </w:t>
      </w:r>
      <w:r>
        <w:rPr>
          <w:rFonts w:ascii="Calibri" w:hAnsi="Calibri"/>
          <w:sz w:val="22"/>
        </w:rPr>
        <w:t>The interest has ended, or the matter it related to is finished. Keep the row.</w:t>
      </w:r>
    </w:p>
    <w:p>
      <w:pPr>
        <w:spacing w:before="320" w:after="120"/>
      </w:pPr>
      <w:r>
        <w:rPr>
          <w:rFonts w:ascii="Calibri" w:hAnsi="Calibri"/>
          <w:b/>
          <w:color w:val="0D9488"/>
          <w:sz w:val="28"/>
        </w:rPr>
        <w:t>Reviewing the register at meetings</w:t>
      </w:r>
    </w:p>
    <w:p>
      <w:pPr>
        <w:spacing w:before="40" w:after="40" w:line="259" w:lineRule="auto"/>
        <w:ind w:left="283"/>
      </w:pPr>
      <w:r>
        <w:rPr>
          <w:rFonts w:ascii="Calibri" w:hAnsi="Calibri"/>
          <w:b/>
          <w:sz w:val="22"/>
        </w:rPr>
        <w:t xml:space="preserve">1. </w:t>
      </w:r>
      <w:r>
        <w:rPr>
          <w:rFonts w:ascii="Calibri" w:hAnsi="Calibri"/>
          <w:sz w:val="22"/>
        </w:rPr>
        <w:t>Put "Conflicts of interest" near the start of the agenda, before any decisions.</w:t>
      </w:r>
    </w:p>
    <w:p>
      <w:pPr>
        <w:spacing w:before="40" w:after="40" w:line="259" w:lineRule="auto"/>
        <w:ind w:left="283"/>
      </w:pPr>
      <w:r>
        <w:rPr>
          <w:rFonts w:ascii="Calibri" w:hAnsi="Calibri"/>
          <w:b/>
          <w:sz w:val="22"/>
        </w:rPr>
        <w:t xml:space="preserve">2. </w:t>
      </w:r>
      <w:r>
        <w:rPr>
          <w:rFonts w:ascii="Calibri" w:hAnsi="Calibri"/>
          <w:sz w:val="22"/>
        </w:rPr>
        <w:t>The chair asks whether the register is current, and whether anyone has an interest in an item on that day's agenda.</w:t>
      </w:r>
    </w:p>
    <w:p>
      <w:pPr>
        <w:spacing w:before="40" w:after="40" w:line="259" w:lineRule="auto"/>
        <w:ind w:left="283"/>
      </w:pPr>
      <w:r>
        <w:rPr>
          <w:rFonts w:ascii="Calibri" w:hAnsi="Calibri"/>
          <w:b/>
          <w:sz w:val="22"/>
        </w:rPr>
        <w:t xml:space="preserve">3. </w:t>
      </w:r>
      <w:r>
        <w:rPr>
          <w:rFonts w:ascii="Calibri" w:hAnsi="Calibri"/>
          <w:sz w:val="22"/>
        </w:rPr>
        <w:t>Add new declarations to the register in the meeting, not afterwards from memory.</w:t>
      </w:r>
    </w:p>
    <w:p>
      <w:pPr>
        <w:spacing w:before="40" w:after="40" w:line="259" w:lineRule="auto"/>
        <w:ind w:left="283"/>
      </w:pPr>
      <w:r>
        <w:rPr>
          <w:rFonts w:ascii="Calibri" w:hAnsi="Calibri"/>
          <w:b/>
          <w:sz w:val="22"/>
        </w:rPr>
        <w:t xml:space="preserve">4. </w:t>
      </w:r>
      <w:r>
        <w:rPr>
          <w:rFonts w:ascii="Calibri" w:hAnsi="Calibri"/>
          <w:sz w:val="22"/>
        </w:rPr>
        <w:t>For each interest that touches an agenda item, confirm the management action before that item is discussed.</w:t>
      </w:r>
    </w:p>
    <w:p>
      <w:pPr>
        <w:spacing w:before="40" w:after="40" w:line="259" w:lineRule="auto"/>
        <w:ind w:left="283"/>
      </w:pPr>
      <w:r>
        <w:rPr>
          <w:rFonts w:ascii="Calibri" w:hAnsi="Calibri"/>
          <w:b/>
          <w:sz w:val="22"/>
        </w:rPr>
        <w:t xml:space="preserve">5. </w:t>
      </w:r>
      <w:r>
        <w:rPr>
          <w:rFonts w:ascii="Calibri" w:hAnsi="Calibri"/>
          <w:sz w:val="22"/>
        </w:rPr>
        <w:t>The minutes record the declaration and the management action for that meeting. The register is the standing record, so keep both.</w:t>
      </w:r>
    </w:p>
    <w:p>
      <w:pPr>
        <w:spacing w:before="320" w:after="120"/>
      </w:pPr>
      <w:r>
        <w:rPr>
          <w:rFonts w:ascii="Calibri" w:hAnsi="Calibri"/>
          <w:b/>
          <w:color w:val="0D9488"/>
          <w:sz w:val="28"/>
        </w:rPr>
        <w:t>Australian governance context</w:t>
      </w:r>
    </w:p>
    <w:p>
      <w:pPr>
        <w:spacing w:before="0" w:after="160" w:line="259" w:lineRule="auto"/>
      </w:pPr>
      <w:r>
        <w:rPr>
          <w:rFonts w:ascii="Calibri" w:hAnsi="Calibri"/>
          <w:i w:val="0"/>
          <w:color w:val="1F2937"/>
          <w:sz w:val="22"/>
        </w:rPr>
        <w:t>ACNC Governance Standard 5 requires a registered charity to take reasonable steps to make sure its responsible people disclose any actual or perceived material conflict of interest. ACNC guidance says those disclosures should be recorded in writing, most often in a register of interests, and that a related party transaction is a conflict that must be disclosed. A person may give a standing notice, which is why this register has a review date rather than relying on a one-off line in the minutes.</w:t>
      </w:r>
    </w:p>
    <w:p>
      <w:pPr>
        <w:spacing w:before="0" w:after="160" w:line="259" w:lineRule="auto"/>
      </w:pPr>
      <w:r>
        <w:rPr>
          <w:rFonts w:ascii="Calibri" w:hAnsi="Calibri"/>
          <w:i w:val="0"/>
          <w:color w:val="1F2937"/>
          <w:sz w:val="22"/>
        </w:rPr>
        <w:t>Under the Corporations Act 2001, a director who has a material personal interest in a matter relating to the affairs of the company must give the other directors notice of that interest (section 191). A director of a public company, which includes a company limited by guarantee, who has a material personal interest in a matter being considered at a directors' meeting must not be present while it is considered or vote on it, unless an exception in the Act applies (section 195).</w:t>
      </w:r>
    </w:p>
    <w:p>
      <w:pPr>
        <w:spacing w:before="0" w:after="160" w:line="259" w:lineRule="auto"/>
      </w:pPr>
      <w:r>
        <w:rPr>
          <w:rFonts w:ascii="Calibri" w:hAnsi="Calibri"/>
          <w:i w:val="0"/>
          <w:color w:val="1F2937"/>
          <w:sz w:val="22"/>
        </w:rPr>
        <w:t>Associations legislation in each state and territory also expects committee members to disclose interests. Follow the Act that applies to your organisation, and follow your constitution or conflict of interest policy where it sets a stricter rule.</w:t>
      </w:r>
    </w:p>
    <w:p>
      <w:pPr>
        <w:spacing w:before="0" w:after="160" w:line="259" w:lineRule="auto"/>
      </w:pPr>
      <w:r>
        <w:rPr>
          <w:rFonts w:ascii="Calibri" w:hAnsi="Calibri"/>
          <w:i/>
          <w:color w:val="4B5563"/>
          <w:sz w:val="22"/>
        </w:rPr>
        <w:t>This template is a starting record for the board. It is not legal advice, and it does not replace your conflict of interest policy.</w:t>
      </w:r>
    </w:p>
    <w:p>
      <w:pPr>
        <w:spacing w:before="360" w:after="160"/>
      </w:pPr>
      <w:r>
        <w:rPr>
          <w:color w:val="D1D5DB"/>
          <w:sz w:val="20"/>
        </w:rPr>
        <w:t>────────────────────────────────────────</w:t>
      </w:r>
    </w:p>
    <w:p>
      <w:pPr>
        <w:spacing w:before="320" w:after="120"/>
      </w:pPr>
      <w:r>
        <w:rPr>
          <w:rFonts w:ascii="Calibri" w:hAnsi="Calibri"/>
          <w:b/>
          <w:color w:val="0D9488"/>
          <w:sz w:val="28"/>
        </w:rPr>
        <w:t>The same register, inside the board portal.</w:t>
      </w:r>
    </w:p>
    <w:p>
      <w:pPr>
        <w:spacing w:before="0" w:after="160" w:line="259" w:lineRule="auto"/>
      </w:pPr>
      <w:r>
        <w:rPr>
          <w:rFonts w:ascii="Calibri" w:hAnsi="Calibri"/>
          <w:i w:val="0"/>
          <w:color w:val="1F2937"/>
          <w:sz w:val="22"/>
        </w:rPr>
        <w:t>Our Cat Herder is an Australian board portal with a conflict of interest register. Directors submit a declaration through a secure form. The secretary can add an entry while taking the minutes, and that entry stays on the register and in the minutes.</w:t>
      </w:r>
    </w:p>
    <w:p>
      <w:pPr>
        <w:spacing w:after="40"/>
      </w:pPr>
      <w:r>
        <w:rPr>
          <w:rFonts w:ascii="Calibri" w:hAnsi="Calibri"/>
          <w:b/>
          <w:color w:val="0D9488"/>
          <w:sz w:val="22"/>
        </w:rPr>
        <w:t>Start a free 45-day trial at ourcatherder.com</w:t>
      </w:r>
    </w:p>
    <w:p>
      <w:r>
        <w:rPr>
          <w:rFonts w:ascii="Calibri" w:hAnsi="Calibri"/>
          <w:color w:val="0D9488"/>
          <w:sz w:val="22"/>
        </w:rPr>
        <w:t>www.ourcatherder.com/features/board-registers/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Register Template</dc:title>
  <dc:subject>Free conflict of interest register template for boards</dc:subject>
  <dc:creator>Our Cat Herder</dc:creator>
  <cp:keywords/>
  <dc:description>Free conflict of interest register template from Our Cat Herder</dc:description>
  <cp:lastModifiedBy/>
  <cp:revision>1</cp:revision>
  <dcterms:created xsi:type="dcterms:W3CDTF">2026-10-09T00:00:00Z</dcterms:created>
  <dcterms:modified xsi:type="dcterms:W3CDTF">2026-10-09T00:00:00Z</dcterms:modified>
  <cp:category>Governance template</cp:category>
</cp:coreProperties>
</file>